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thumbnail" Target="docProps/thumbnail.jpeg"/>
  <Relationship Id="rId3" Type="http://schemas.openxmlformats.org/package/2006/relationships/metadata/core-properties" Target="docProps/core.xml"/>
  <Relationship Id="rId4" Type="http://schemas.openxmlformats.org/officeDocument/2006/relationships/extended-properties" Target="docProps/app.xml"/>
</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746B03" w14:textId="77777777" w:rsidR="003B286F" w:rsidRPr="0038562A" w:rsidRDefault="003B286F" w:rsidP="003B286F">
      <w:pPr>
        <w:widowControl/>
        <w:shd w:val="clear" w:color="auto" w:fill="FFFFFF"/>
        <w:ind w:left="975" w:right="1500"/>
        <w:jc w:val="left"/>
        <w:outlineLvl w:val="0"/>
        <w:rPr>
          <w:rFonts w:ascii="Times New Roman" w:eastAsia="Times New Roman" w:hAnsi="Times New Roman" w:cs="Times New Roman"/>
          <w:color w:val="007DB8"/>
          <w:kern w:val="36"/>
          <w:sz w:val="20"/>
          <w:szCs w:val="20"/>
        </w:rPr>
      </w:pPr>
      <w:r w:rsidRPr="0038562A">
        <w:rPr>
          <w:rFonts w:ascii="Times New Roman" w:eastAsia="Times New Roman" w:hAnsi="Times New Roman" w:cs="Times New Roman"/>
          <w:b/>
          <w:bCs/>
          <w:color w:val="7A7A7A"/>
          <w:kern w:val="36"/>
          <w:sz w:val="20"/>
          <w:szCs w:val="20"/>
        </w:rPr>
        <w:t>3-1</w:t>
      </w:r>
      <w:r w:rsidRPr="0038562A">
        <w:rPr>
          <w:rFonts w:ascii="Times New Roman" w:eastAsia="Times New Roman" w:hAnsi="Times New Roman" w:cs="Times New Roman"/>
          <w:color w:val="007DB8"/>
          <w:kern w:val="36"/>
          <w:sz w:val="20"/>
          <w:szCs w:val="20"/>
        </w:rPr>
        <w:t>Financial Statements and Reports</w:t>
      </w:r>
    </w:p>
    <w:p w14:paraId="5B3A12C0" w14:textId="77777777" w:rsidR="003B286F" w:rsidRPr="0038562A" w:rsidRDefault="003B286F" w:rsidP="003B286F">
      <w:pPr>
        <w:widowControl/>
        <w:shd w:val="clear" w:color="auto" w:fill="FFFFFF"/>
        <w:spacing w:after="225"/>
        <w:ind w:left="975" w:right="1500"/>
        <w:jc w:val="left"/>
        <w:rPr>
          <w:rFonts w:ascii="Times New Roman" w:hAnsi="Times New Roman" w:cs="Times New Roman"/>
          <w:color w:val="666666"/>
          <w:kern w:val="0"/>
          <w:sz w:val="20"/>
          <w:szCs w:val="20"/>
        </w:rPr>
      </w:pPr>
      <w:r w:rsidRPr="0038562A">
        <w:rPr>
          <w:rFonts w:ascii="Times New Roman" w:hAnsi="Times New Roman" w:cs="Times New Roman"/>
          <w:color w:val="666666"/>
          <w:kern w:val="0"/>
          <w:sz w:val="20"/>
          <w:szCs w:val="20"/>
        </w:rPr>
        <w:t>The </w:t>
      </w:r>
      <w:hyperlink r:id="rId6" w:history="1">
        <w:r w:rsidRPr="0038562A">
          <w:rPr>
            <w:rFonts w:ascii="Times New Roman" w:hAnsi="Times New Roman" w:cs="Times New Roman"/>
            <w:b/>
            <w:bCs/>
            <w:color w:val="0081BC"/>
            <w:kern w:val="0"/>
            <w:sz w:val="20"/>
            <w:szCs w:val="20"/>
          </w:rPr>
          <w:t>annual report</w:t>
        </w:r>
      </w:hyperlink>
      <w:r w:rsidRPr="0038562A">
        <w:rPr>
          <w:rFonts w:ascii="Times New Roman" w:hAnsi="Times New Roman" w:cs="Times New Roman"/>
          <w:color w:val="666666"/>
          <w:kern w:val="0"/>
          <w:sz w:val="20"/>
          <w:szCs w:val="20"/>
        </w:rPr>
        <w:t> is the most important report that corporations issue to stockholders, and it contains two types of information.</w:t>
      </w:r>
      <w:r w:rsidRPr="0038562A">
        <w:rPr>
          <w:rFonts w:ascii="Times New Roman" w:hAnsi="Times New Roman" w:cs="Times New Roman"/>
          <w:noProof/>
          <w:color w:val="008CD2"/>
          <w:kern w:val="0"/>
          <w:sz w:val="20"/>
          <w:szCs w:val="20"/>
        </w:rPr>
        <w:drawing>
          <wp:inline distT="0" distB="0" distL="0" distR="0" wp14:anchorId="3E7563D5" wp14:editId="3883B10E">
            <wp:extent cx="167005" cy="167005"/>
            <wp:effectExtent l="0" t="0" r="10795" b="10795"/>
            <wp:docPr id="1" name="图片 1" descr="http://ng.cengage.com/static/nbapps/glossary/images/footstar.png">
              <a:hlinkClick xmlns:a="http://schemas.openxmlformats.org/drawingml/2006/main" r:id="rId6"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g.cengage.com/static/nbapps/glossary/images/footstar.png">
                      <a:hlinkClick r:id="rId6" tooltip="&quot;Footnot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r w:rsidRPr="0038562A">
        <w:rPr>
          <w:rFonts w:ascii="Times New Roman" w:hAnsi="Times New Roman" w:cs="Times New Roman"/>
          <w:color w:val="666666"/>
          <w:kern w:val="0"/>
          <w:sz w:val="20"/>
          <w:szCs w:val="20"/>
        </w:rPr>
        <w:t> First, there is a verbal section, often presented as a letter from the chairperson, which describes the firm’s operating results durin</w:t>
      </w:r>
      <w:bookmarkStart w:id="0" w:name="_GoBack"/>
      <w:bookmarkEnd w:id="0"/>
      <w:r w:rsidRPr="0038562A">
        <w:rPr>
          <w:rFonts w:ascii="Times New Roman" w:hAnsi="Times New Roman" w:cs="Times New Roman"/>
          <w:color w:val="666666"/>
          <w:kern w:val="0"/>
          <w:sz w:val="20"/>
          <w:szCs w:val="20"/>
        </w:rPr>
        <w:t>g the past year and discusses new developments that will affect future operations. Second, the report provides these four basic financial statements:</w:t>
      </w:r>
    </w:p>
    <w:p w14:paraId="5DEE4696" w14:textId="77777777" w:rsidR="003B286F" w:rsidRPr="0038562A" w:rsidRDefault="003B286F" w:rsidP="003B286F">
      <w:pPr>
        <w:widowControl/>
        <w:numPr>
          <w:ilvl w:val="0"/>
          <w:numId w:val="1"/>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color w:val="666666"/>
          <w:kern w:val="0"/>
          <w:sz w:val="20"/>
          <w:szCs w:val="20"/>
        </w:rPr>
        <w:t>The </w:t>
      </w:r>
      <w:r w:rsidRPr="0038562A">
        <w:rPr>
          <w:rFonts w:ascii="Times New Roman" w:hAnsi="Times New Roman" w:cs="Times New Roman"/>
          <w:i/>
          <w:iCs/>
          <w:color w:val="666666"/>
          <w:kern w:val="0"/>
          <w:sz w:val="20"/>
          <w:szCs w:val="20"/>
        </w:rPr>
        <w:t>balance sheet,</w:t>
      </w:r>
      <w:r w:rsidRPr="0038562A">
        <w:rPr>
          <w:rFonts w:ascii="Times New Roman" w:hAnsi="Times New Roman" w:cs="Times New Roman"/>
          <w:color w:val="666666"/>
          <w:kern w:val="0"/>
          <w:sz w:val="20"/>
          <w:szCs w:val="20"/>
        </w:rPr>
        <w:t> which shows what assets the company owns and who has claims on those assets as of a given date—for example, December 31, 2016.</w:t>
      </w:r>
    </w:p>
    <w:p w14:paraId="1916C57B" w14:textId="77777777" w:rsidR="003B286F" w:rsidRPr="0038562A" w:rsidRDefault="003B286F" w:rsidP="003B286F">
      <w:pPr>
        <w:widowControl/>
        <w:numPr>
          <w:ilvl w:val="0"/>
          <w:numId w:val="1"/>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color w:val="666666"/>
          <w:kern w:val="0"/>
          <w:sz w:val="20"/>
          <w:szCs w:val="20"/>
        </w:rPr>
        <w:t>The </w:t>
      </w:r>
      <w:r w:rsidRPr="0038562A">
        <w:rPr>
          <w:rFonts w:ascii="Times New Roman" w:hAnsi="Times New Roman" w:cs="Times New Roman"/>
          <w:i/>
          <w:iCs/>
          <w:color w:val="666666"/>
          <w:kern w:val="0"/>
          <w:sz w:val="20"/>
          <w:szCs w:val="20"/>
        </w:rPr>
        <w:t>income statement,</w:t>
      </w:r>
      <w:r w:rsidRPr="0038562A">
        <w:rPr>
          <w:rFonts w:ascii="Times New Roman" w:hAnsi="Times New Roman" w:cs="Times New Roman"/>
          <w:color w:val="666666"/>
          <w:kern w:val="0"/>
          <w:sz w:val="20"/>
          <w:szCs w:val="20"/>
        </w:rPr>
        <w:t> which shows the firm’s sales and costs (and thus profits) during some past period—for example, 2016.</w:t>
      </w:r>
    </w:p>
    <w:p w14:paraId="19A2C31F" w14:textId="77777777" w:rsidR="003B286F" w:rsidRPr="0038562A" w:rsidRDefault="003B286F" w:rsidP="003B286F">
      <w:pPr>
        <w:widowControl/>
        <w:numPr>
          <w:ilvl w:val="0"/>
          <w:numId w:val="1"/>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color w:val="666666"/>
          <w:kern w:val="0"/>
          <w:sz w:val="20"/>
          <w:szCs w:val="20"/>
        </w:rPr>
        <w:t>The </w:t>
      </w:r>
      <w:r w:rsidRPr="0038562A">
        <w:rPr>
          <w:rFonts w:ascii="Times New Roman" w:hAnsi="Times New Roman" w:cs="Times New Roman"/>
          <w:i/>
          <w:iCs/>
          <w:color w:val="666666"/>
          <w:kern w:val="0"/>
          <w:sz w:val="20"/>
          <w:szCs w:val="20"/>
        </w:rPr>
        <w:t>statement of cash flows,</w:t>
      </w:r>
      <w:r w:rsidRPr="0038562A">
        <w:rPr>
          <w:rFonts w:ascii="Times New Roman" w:hAnsi="Times New Roman" w:cs="Times New Roman"/>
          <w:color w:val="666666"/>
          <w:kern w:val="0"/>
          <w:sz w:val="20"/>
          <w:szCs w:val="20"/>
        </w:rPr>
        <w:t> which shows how much cash the firm began the year with, how much cash it ended up with, and what it did to increase or decrease its cash.</w:t>
      </w:r>
    </w:p>
    <w:p w14:paraId="14244206" w14:textId="77777777" w:rsidR="003B286F" w:rsidRPr="0038562A" w:rsidRDefault="003B286F" w:rsidP="003B286F">
      <w:pPr>
        <w:widowControl/>
        <w:numPr>
          <w:ilvl w:val="0"/>
          <w:numId w:val="1"/>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color w:val="666666"/>
          <w:kern w:val="0"/>
          <w:sz w:val="20"/>
          <w:szCs w:val="20"/>
        </w:rPr>
        <w:t>The </w:t>
      </w:r>
      <w:r w:rsidRPr="0038562A">
        <w:rPr>
          <w:rFonts w:ascii="Times New Roman" w:hAnsi="Times New Roman" w:cs="Times New Roman"/>
          <w:i/>
          <w:iCs/>
          <w:color w:val="666666"/>
          <w:kern w:val="0"/>
          <w:sz w:val="20"/>
          <w:szCs w:val="20"/>
        </w:rPr>
        <w:t>statement of stockholders’ equity,</w:t>
      </w:r>
      <w:r w:rsidRPr="0038562A">
        <w:rPr>
          <w:rFonts w:ascii="Times New Roman" w:hAnsi="Times New Roman" w:cs="Times New Roman"/>
          <w:color w:val="666666"/>
          <w:kern w:val="0"/>
          <w:sz w:val="20"/>
          <w:szCs w:val="20"/>
        </w:rPr>
        <w:t> which shows the amount of equity the stockholders had at the start of the year, the items that increased or decreased equity, and the equity at the end of the year.</w:t>
      </w:r>
    </w:p>
    <w:p w14:paraId="4E0597C7" w14:textId="77777777" w:rsidR="003B286F" w:rsidRPr="0038562A" w:rsidRDefault="003B286F" w:rsidP="003B286F">
      <w:pPr>
        <w:widowControl/>
        <w:shd w:val="clear" w:color="auto" w:fill="FFFFFF"/>
        <w:spacing w:after="225"/>
        <w:ind w:left="975" w:right="1500"/>
        <w:jc w:val="left"/>
        <w:rPr>
          <w:rFonts w:ascii="Times New Roman" w:hAnsi="Times New Roman" w:cs="Times New Roman"/>
          <w:color w:val="666666"/>
          <w:kern w:val="0"/>
          <w:sz w:val="20"/>
          <w:szCs w:val="20"/>
        </w:rPr>
      </w:pPr>
      <w:r w:rsidRPr="0038562A">
        <w:rPr>
          <w:rFonts w:ascii="Times New Roman" w:hAnsi="Times New Roman" w:cs="Times New Roman"/>
          <w:color w:val="666666"/>
          <w:kern w:val="0"/>
          <w:sz w:val="20"/>
          <w:szCs w:val="20"/>
        </w:rPr>
        <w:t>These statements are related to one another; and taken together they provide an accounting picture of the firm’s operations and financial position.</w:t>
      </w:r>
    </w:p>
    <w:p w14:paraId="479C7E97" w14:textId="77777777" w:rsidR="003B286F" w:rsidRPr="0038562A" w:rsidRDefault="003B286F" w:rsidP="003B286F">
      <w:pPr>
        <w:widowControl/>
        <w:shd w:val="clear" w:color="auto" w:fill="FFFFFF"/>
        <w:spacing w:after="225"/>
        <w:ind w:left="975" w:right="1500"/>
        <w:jc w:val="left"/>
        <w:rPr>
          <w:rFonts w:ascii="Times New Roman" w:hAnsi="Times New Roman" w:cs="Times New Roman"/>
          <w:color w:val="666666"/>
          <w:kern w:val="0"/>
          <w:sz w:val="20"/>
          <w:szCs w:val="20"/>
        </w:rPr>
      </w:pPr>
      <w:r w:rsidRPr="0038562A">
        <w:rPr>
          <w:rFonts w:ascii="Times New Roman" w:hAnsi="Times New Roman" w:cs="Times New Roman"/>
          <w:color w:val="666666"/>
          <w:kern w:val="0"/>
          <w:sz w:val="20"/>
          <w:szCs w:val="20"/>
        </w:rPr>
        <w:t>The quantitative and verbal materials are equally important. The firm’s financial statements report </w:t>
      </w:r>
      <w:r w:rsidRPr="0038562A">
        <w:rPr>
          <w:rFonts w:ascii="Times New Roman" w:hAnsi="Times New Roman" w:cs="Times New Roman"/>
          <w:i/>
          <w:iCs/>
          <w:color w:val="666666"/>
          <w:kern w:val="0"/>
          <w:sz w:val="20"/>
          <w:szCs w:val="20"/>
        </w:rPr>
        <w:t>what has actually happened</w:t>
      </w:r>
      <w:r w:rsidRPr="0038562A">
        <w:rPr>
          <w:rFonts w:ascii="Times New Roman" w:hAnsi="Times New Roman" w:cs="Times New Roman"/>
          <w:color w:val="666666"/>
          <w:kern w:val="0"/>
          <w:sz w:val="20"/>
          <w:szCs w:val="20"/>
        </w:rPr>
        <w:t> to its assets, earnings, and dividends over the past few years, whereas management’s verbal statements attempt to explain why things turned out the way they did and what might happen in the future.</w:t>
      </w:r>
    </w:p>
    <w:p w14:paraId="59B143C4" w14:textId="77777777" w:rsidR="003B286F" w:rsidRPr="0038562A" w:rsidRDefault="003B286F" w:rsidP="003B286F">
      <w:pPr>
        <w:widowControl/>
        <w:shd w:val="clear" w:color="auto" w:fill="FFFFFF"/>
        <w:spacing w:after="225"/>
        <w:ind w:left="975" w:right="1500"/>
        <w:jc w:val="left"/>
        <w:rPr>
          <w:rFonts w:ascii="Times New Roman" w:hAnsi="Times New Roman" w:cs="Times New Roman"/>
          <w:color w:val="666666"/>
          <w:kern w:val="0"/>
          <w:sz w:val="20"/>
          <w:szCs w:val="20"/>
        </w:rPr>
      </w:pPr>
      <w:r w:rsidRPr="0038562A">
        <w:rPr>
          <w:rFonts w:ascii="Times New Roman" w:hAnsi="Times New Roman" w:cs="Times New Roman"/>
          <w:color w:val="666666"/>
          <w:kern w:val="0"/>
          <w:sz w:val="20"/>
          <w:szCs w:val="20"/>
        </w:rPr>
        <w:t xml:space="preserve">For discussion purposes, we use data for Allied Food Products, a processor and distributor of a wide variety of food products, to illustrate the basic financial statements. Allied was formed in 1985, when several regional firms merged; it has grown steadily while earning a reputation as one of the best firms in its industry. </w:t>
      </w: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earnings dropped from $121.8 million in </w:t>
      </w:r>
      <w:r w:rsidRPr="0038562A">
        <w:rPr>
          <w:rFonts w:ascii="Times New Roman" w:hAnsi="Times New Roman" w:cs="Times New Roman"/>
          <w:color w:val="666666"/>
          <w:kern w:val="0"/>
          <w:sz w:val="20"/>
          <w:szCs w:val="20"/>
        </w:rPr>
        <w:lastRenderedPageBreak/>
        <w:t>2015 to $117.5 million in 2016. Management reported that the drop resulted from losses associated with a drought as well as increased costs due to a three-month strike. However, management then went on to describe a more optimistic picture for the future, stating that full operations had been resumed, that several unprofitable businesses had been eliminated, and that 2017 profits were expected to rise sharply. Of course, an increase in profitability may not occur; and analysts should compare management’s past statements with subsequent results. In any event, </w:t>
      </w:r>
      <w:r w:rsidRPr="0038562A">
        <w:rPr>
          <w:rFonts w:ascii="Times New Roman" w:hAnsi="Times New Roman" w:cs="Times New Roman"/>
          <w:i/>
          <w:iCs/>
          <w:color w:val="666666"/>
          <w:kern w:val="0"/>
          <w:sz w:val="20"/>
          <w:szCs w:val="20"/>
        </w:rPr>
        <w:t>the information contained in the annual report can be used to help forecast future earnings and dividends.</w:t>
      </w:r>
      <w:r w:rsidRPr="0038562A">
        <w:rPr>
          <w:rFonts w:ascii="Times New Roman" w:hAnsi="Times New Roman" w:cs="Times New Roman"/>
          <w:color w:val="666666"/>
          <w:kern w:val="0"/>
          <w:sz w:val="20"/>
          <w:szCs w:val="20"/>
        </w:rPr>
        <w:t> Therefore, investors are very interested in this report.</w:t>
      </w:r>
    </w:p>
    <w:p w14:paraId="0081990A" w14:textId="77777777" w:rsidR="003B286F" w:rsidRPr="0038562A" w:rsidRDefault="003B286F" w:rsidP="003B286F">
      <w:pPr>
        <w:widowControl/>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color w:val="666666"/>
          <w:kern w:val="0"/>
          <w:sz w:val="20"/>
          <w:szCs w:val="20"/>
        </w:rPr>
        <w:t xml:space="preserve">We should note that </w:t>
      </w: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financial statements are relatively simple and straightforward; we also omitted some details often shown in the statements. Allied finances with only debt and common stock—it has no preferred stock, convertibles, or complex derivative securities. Also, the firm has made no acquisitions that resulted in goodwill that must be carried on the balance sheet. Finally, all of its assets are used in its basic business operations; hence, no non-operating assets must be pulled out when we evaluate its operating performance. We deliberately chose such a company because this is an introductory text; as such, we want to explain the basics of financial analysis, not wander into arcane accounting matters that are best left to accounting and security analysis courses. We do point out some of the pitfalls that can be encountered when trying to interpret accounting statements, but we leave it to advanced courses to cover the intricacies of accounting.</w:t>
      </w:r>
    </w:p>
    <w:p w14:paraId="06D8B827" w14:textId="77777777" w:rsidR="003B286F" w:rsidRPr="0038562A" w:rsidRDefault="003B286F" w:rsidP="003B286F">
      <w:pPr>
        <w:widowControl/>
        <w:shd w:val="clear" w:color="auto" w:fill="FFFFFF"/>
        <w:ind w:left="975" w:right="1500"/>
        <w:jc w:val="left"/>
        <w:rPr>
          <w:rFonts w:ascii="Times New Roman" w:hAnsi="Times New Roman" w:cs="Times New Roman"/>
          <w:color w:val="666666"/>
          <w:kern w:val="0"/>
          <w:sz w:val="20"/>
          <w:szCs w:val="20"/>
        </w:rPr>
      </w:pPr>
    </w:p>
    <w:p w14:paraId="431D6764" w14:textId="77777777" w:rsidR="003B286F" w:rsidRPr="0038562A" w:rsidRDefault="003B286F" w:rsidP="003B286F">
      <w:pPr>
        <w:pStyle w:val="1"/>
        <w:shd w:val="clear" w:color="auto" w:fill="FFFFFF"/>
        <w:spacing w:before="0" w:beforeAutospacing="0" w:after="0" w:afterAutospacing="0"/>
        <w:ind w:left="975" w:right="1500"/>
        <w:rPr>
          <w:rFonts w:ascii="Times New Roman" w:eastAsia="Times New Roman" w:hAnsi="Times New Roman" w:cs="Times New Roman"/>
          <w:b w:val="0"/>
          <w:bCs w:val="0"/>
          <w:color w:val="007DB8"/>
          <w:sz w:val="20"/>
          <w:szCs w:val="20"/>
        </w:rPr>
      </w:pPr>
      <w:r w:rsidRPr="0038562A">
        <w:rPr>
          <w:rStyle w:val="sectionlabel"/>
          <w:rFonts w:ascii="Times New Roman" w:eastAsia="Times New Roman" w:hAnsi="Times New Roman" w:cs="Times New Roman"/>
          <w:color w:val="7A7A7A"/>
          <w:sz w:val="20"/>
          <w:szCs w:val="20"/>
        </w:rPr>
        <w:t>3-2</w:t>
      </w:r>
      <w:r w:rsidRPr="0038562A">
        <w:rPr>
          <w:rStyle w:val="headingtext"/>
          <w:rFonts w:ascii="Times New Roman" w:eastAsia="Times New Roman" w:hAnsi="Times New Roman" w:cs="Times New Roman"/>
          <w:b w:val="0"/>
          <w:bCs w:val="0"/>
          <w:color w:val="007DB8"/>
          <w:sz w:val="20"/>
          <w:szCs w:val="20"/>
        </w:rPr>
        <w:t>The Balance Sheet</w:t>
      </w:r>
    </w:p>
    <w:p w14:paraId="5A1447A6"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The balance sheet is a “snapshot” of a firm’s position at a specific point in time.</w:t>
      </w:r>
      <w:r w:rsidRPr="0038562A">
        <w:rPr>
          <w:rStyle w:val="apple-converted-space"/>
          <w:rFonts w:ascii="Times New Roman" w:hAnsi="Times New Roman"/>
          <w:color w:val="666666"/>
        </w:rPr>
        <w:t> </w:t>
      </w:r>
      <w:hyperlink r:id="rId8" w:history="1">
        <w:r w:rsidRPr="0038562A">
          <w:rPr>
            <w:rStyle w:val="a7"/>
            <w:rFonts w:ascii="Times New Roman" w:hAnsi="Times New Roman"/>
            <w:color w:val="008CD2"/>
          </w:rPr>
          <w:t>Figure 3.1</w:t>
        </w:r>
      </w:hyperlink>
      <w:r w:rsidRPr="0038562A">
        <w:rPr>
          <w:rStyle w:val="apple-converted-space"/>
          <w:rFonts w:ascii="Times New Roman" w:hAnsi="Times New Roman"/>
          <w:color w:val="666666"/>
        </w:rPr>
        <w:t> </w:t>
      </w:r>
      <w:r w:rsidRPr="0038562A">
        <w:rPr>
          <w:rFonts w:ascii="Times New Roman" w:hAnsi="Times New Roman"/>
          <w:color w:val="666666"/>
        </w:rPr>
        <w:t>shows the layout of a typical</w:t>
      </w:r>
      <w:r w:rsidRPr="0038562A">
        <w:rPr>
          <w:rStyle w:val="apple-converted-space"/>
          <w:rFonts w:ascii="Times New Roman" w:hAnsi="Times New Roman"/>
          <w:color w:val="666666"/>
        </w:rPr>
        <w:t> </w:t>
      </w:r>
      <w:hyperlink r:id="rId9" w:history="1">
        <w:r w:rsidRPr="0038562A">
          <w:rPr>
            <w:rStyle w:val="primaryterm"/>
            <w:rFonts w:ascii="Times New Roman" w:hAnsi="Times New Roman"/>
            <w:b/>
            <w:bCs/>
            <w:color w:val="0081BC"/>
          </w:rPr>
          <w:t>balance sheet</w:t>
        </w:r>
      </w:hyperlink>
      <w:r w:rsidRPr="0038562A">
        <w:rPr>
          <w:rFonts w:ascii="Times New Roman" w:hAnsi="Times New Roman"/>
          <w:color w:val="666666"/>
        </w:rPr>
        <w:t xml:space="preserve">. The left side of the statement shows the assets that the company owns, and the right side shows the firm’s liabilities </w:t>
      </w:r>
      <w:proofErr w:type="spellStart"/>
      <w:r w:rsidRPr="0038562A">
        <w:rPr>
          <w:rFonts w:ascii="Times New Roman" w:hAnsi="Times New Roman"/>
          <w:color w:val="666666"/>
        </w:rPr>
        <w:t>and</w:t>
      </w:r>
      <w:r w:rsidRPr="0038562A">
        <w:rPr>
          <w:rStyle w:val="a4"/>
          <w:rFonts w:ascii="Times New Roman" w:hAnsi="Times New Roman"/>
          <w:color w:val="666666"/>
        </w:rPr>
        <w:t>stockholders</w:t>
      </w:r>
      <w:proofErr w:type="spellEnd"/>
      <w:r w:rsidRPr="0038562A">
        <w:rPr>
          <w:rStyle w:val="a4"/>
          <w:rFonts w:ascii="Times New Roman" w:hAnsi="Times New Roman"/>
          <w:color w:val="666666"/>
        </w:rPr>
        <w:t>’ equity,</w:t>
      </w:r>
      <w:r w:rsidRPr="0038562A">
        <w:rPr>
          <w:rStyle w:val="apple-converted-space"/>
          <w:rFonts w:ascii="Times New Roman" w:hAnsi="Times New Roman"/>
          <w:color w:val="666666"/>
        </w:rPr>
        <w:t> </w:t>
      </w:r>
      <w:r w:rsidRPr="0038562A">
        <w:rPr>
          <w:rFonts w:ascii="Times New Roman" w:hAnsi="Times New Roman"/>
          <w:color w:val="666666"/>
        </w:rPr>
        <w:t>which are claims against the firm’s assets. As</w:t>
      </w:r>
      <w:r w:rsidRPr="0038562A">
        <w:rPr>
          <w:rStyle w:val="apple-converted-space"/>
          <w:rFonts w:ascii="Times New Roman" w:hAnsi="Times New Roman"/>
          <w:color w:val="666666"/>
        </w:rPr>
        <w:t> </w:t>
      </w:r>
      <w:hyperlink r:id="rId10" w:history="1">
        <w:r w:rsidRPr="0038562A">
          <w:rPr>
            <w:rStyle w:val="a7"/>
            <w:rFonts w:ascii="Times New Roman" w:hAnsi="Times New Roman"/>
            <w:color w:val="008CD2"/>
          </w:rPr>
          <w:t>Figure 3.1</w:t>
        </w:r>
      </w:hyperlink>
      <w:r w:rsidRPr="0038562A">
        <w:rPr>
          <w:rStyle w:val="apple-converted-space"/>
          <w:rFonts w:ascii="Times New Roman" w:hAnsi="Times New Roman"/>
          <w:color w:val="666666"/>
        </w:rPr>
        <w:t> </w:t>
      </w:r>
      <w:r w:rsidRPr="0038562A">
        <w:rPr>
          <w:rFonts w:ascii="Times New Roman" w:hAnsi="Times New Roman"/>
          <w:color w:val="666666"/>
        </w:rPr>
        <w:t>shows, assets are divided into two major categories: current assets and fixed, or long-</w:t>
      </w:r>
      <w:proofErr w:type="spellStart"/>
      <w:r w:rsidRPr="0038562A">
        <w:rPr>
          <w:rFonts w:ascii="Times New Roman" w:hAnsi="Times New Roman"/>
          <w:color w:val="666666"/>
        </w:rPr>
        <w:t>term,</w:t>
      </w:r>
      <w:bookmarkStart w:id="1" w:name="PageEnd_61"/>
      <w:bookmarkEnd w:id="1"/>
      <w:r w:rsidRPr="0038562A">
        <w:rPr>
          <w:rFonts w:ascii="Times New Roman" w:hAnsi="Times New Roman"/>
          <w:color w:val="666666"/>
        </w:rPr>
        <w:t>assets</w:t>
      </w:r>
      <w:proofErr w:type="spellEnd"/>
      <w:r w:rsidRPr="0038562A">
        <w:rPr>
          <w:rFonts w:ascii="Times New Roman" w:hAnsi="Times New Roman"/>
          <w:color w:val="666666"/>
        </w:rPr>
        <w:t>. Current assets consist of assets that should be converted to cash within one year, and they include cash and cash equivalents, accounts receivable, and inventory.</w:t>
      </w:r>
      <w:r w:rsidRPr="0038562A">
        <w:rPr>
          <w:rFonts w:ascii="Times New Roman" w:hAnsi="Times New Roman"/>
          <w:noProof/>
          <w:color w:val="008CD2"/>
        </w:rPr>
        <w:drawing>
          <wp:inline distT="0" distB="0" distL="0" distR="0" wp14:anchorId="2F2C3549" wp14:editId="4E050B22">
            <wp:extent cx="167005" cy="167005"/>
            <wp:effectExtent l="0" t="0" r="10795" b="10795"/>
            <wp:docPr id="3" name="图片 3" descr="http://ng.cengage.com/static/nbapps/glossary/images/footstar.png">
              <a:hlinkClick xmlns:a="http://schemas.openxmlformats.org/drawingml/2006/main" r:id="rId6"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ng.cengage.com/static/nbapps/glossary/images/footstar.png">
                      <a:hlinkClick r:id="rId6" tooltip="&quot;Footnot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r w:rsidRPr="0038562A">
        <w:rPr>
          <w:rFonts w:ascii="Times New Roman" w:hAnsi="Times New Roman"/>
          <w:color w:val="666666"/>
        </w:rPr>
        <w:t xml:space="preserve">Long-term assets are assets expected to be used for more than one year; they include plant and equipment in addition to intellectual property such as patents and copyrights. Plant and equipment is generally reported net of accumulated depreciation. </w:t>
      </w:r>
      <w:proofErr w:type="spellStart"/>
      <w:r w:rsidRPr="0038562A">
        <w:rPr>
          <w:rFonts w:ascii="Times New Roman" w:hAnsi="Times New Roman"/>
          <w:color w:val="666666"/>
        </w:rPr>
        <w:t>Allied’s</w:t>
      </w:r>
      <w:proofErr w:type="spellEnd"/>
      <w:r w:rsidRPr="0038562A">
        <w:rPr>
          <w:rFonts w:ascii="Times New Roman" w:hAnsi="Times New Roman"/>
          <w:color w:val="666666"/>
        </w:rPr>
        <w:t xml:space="preserve"> long-term assets consist entirely of net plant and equipment, and we often refer to them as “net fixed assets.”</w:t>
      </w:r>
    </w:p>
    <w:p w14:paraId="570D8511" w14:textId="77777777" w:rsidR="003B286F" w:rsidRPr="0038562A" w:rsidRDefault="003B286F" w:rsidP="003B286F">
      <w:pPr>
        <w:spacing w:line="486" w:lineRule="atLeast"/>
        <w:rPr>
          <w:rFonts w:ascii="Times New Roman" w:eastAsia="Times New Roman" w:hAnsi="Times New Roman" w:cs="Times New Roman"/>
          <w:b/>
          <w:bCs/>
          <w:color w:val="C15827"/>
          <w:sz w:val="20"/>
          <w:szCs w:val="20"/>
        </w:rPr>
      </w:pPr>
      <w:r w:rsidRPr="0038562A">
        <w:rPr>
          <w:rStyle w:val="medialabeltext"/>
          <w:rFonts w:ascii="Times New Roman" w:eastAsia="Times New Roman" w:hAnsi="Times New Roman" w:cs="Times New Roman"/>
          <w:b/>
          <w:bCs/>
          <w:color w:val="535957"/>
          <w:sz w:val="20"/>
          <w:szCs w:val="20"/>
          <w:shd w:val="clear" w:color="auto" w:fill="DAD9E1"/>
        </w:rPr>
        <w:t>Figure</w:t>
      </w:r>
      <w:r w:rsidRPr="0038562A">
        <w:rPr>
          <w:rStyle w:val="apple-converted-space"/>
          <w:rFonts w:ascii="Times New Roman" w:eastAsia="Times New Roman" w:hAnsi="Times New Roman" w:cs="Times New Roman"/>
          <w:b/>
          <w:bCs/>
          <w:color w:val="535957"/>
          <w:sz w:val="20"/>
          <w:szCs w:val="20"/>
          <w:shd w:val="clear" w:color="auto" w:fill="DAD9E1"/>
        </w:rPr>
        <w:t> </w:t>
      </w:r>
      <w:r w:rsidRPr="0038562A">
        <w:rPr>
          <w:rStyle w:val="mediafigurenumber"/>
          <w:rFonts w:ascii="Times New Roman" w:eastAsia="Times New Roman" w:hAnsi="Times New Roman" w:cs="Times New Roman"/>
          <w:b/>
          <w:bCs/>
          <w:color w:val="535957"/>
          <w:sz w:val="20"/>
          <w:szCs w:val="20"/>
          <w:shd w:val="clear" w:color="auto" w:fill="DAD9E1"/>
        </w:rPr>
        <w:t>3.1</w:t>
      </w:r>
      <w:r w:rsidRPr="0038562A">
        <w:rPr>
          <w:rStyle w:val="mediaassettitle"/>
          <w:rFonts w:ascii="Times New Roman" w:eastAsia="Times New Roman" w:hAnsi="Times New Roman" w:cs="Times New Roman"/>
          <w:b/>
          <w:bCs/>
          <w:color w:val="000000"/>
          <w:sz w:val="20"/>
          <w:szCs w:val="20"/>
        </w:rPr>
        <w:t>A Typical Balance Sheet</w:t>
      </w:r>
    </w:p>
    <w:p w14:paraId="3CB6CE3E" w14:textId="77777777" w:rsidR="003B286F" w:rsidRPr="0038562A" w:rsidRDefault="003B286F" w:rsidP="003B286F">
      <w:pPr>
        <w:shd w:val="clear" w:color="auto" w:fill="FFFFFF"/>
        <w:spacing w:line="486" w:lineRule="atLeast"/>
        <w:jc w:val="center"/>
        <w:rPr>
          <w:rFonts w:ascii="Times New Roman" w:eastAsia="Times New Roman" w:hAnsi="Times New Roman" w:cs="Times New Roman"/>
          <w:color w:val="666666"/>
          <w:sz w:val="20"/>
          <w:szCs w:val="20"/>
        </w:rPr>
      </w:pPr>
    </w:p>
    <w:p w14:paraId="4C12FE09" w14:textId="77777777" w:rsidR="003B286F" w:rsidRPr="0038562A" w:rsidRDefault="003B286F" w:rsidP="003B286F">
      <w:pPr>
        <w:shd w:val="clear" w:color="auto" w:fill="FFFFFF"/>
        <w:spacing w:line="486" w:lineRule="atLeast"/>
        <w:jc w:val="center"/>
        <w:rPr>
          <w:rFonts w:ascii="Times New Roman" w:eastAsia="Times New Roman" w:hAnsi="Times New Roman" w:cs="Times New Roman"/>
          <w:color w:val="666666"/>
          <w:sz w:val="20"/>
          <w:szCs w:val="20"/>
        </w:rPr>
      </w:pPr>
      <w:r w:rsidRPr="0038562A">
        <w:rPr>
          <w:rFonts w:ascii="Times New Roman" w:eastAsia="Times New Roman" w:hAnsi="Times New Roman" w:cs="Times New Roman"/>
          <w:noProof/>
          <w:color w:val="666666"/>
          <w:sz w:val="20"/>
          <w:szCs w:val="20"/>
        </w:rPr>
        <w:drawing>
          <wp:inline distT="0" distB="0" distL="0" distR="0" wp14:anchorId="3288FA7C" wp14:editId="4BFE2670">
            <wp:extent cx="262255" cy="262255"/>
            <wp:effectExtent l="0" t="0" r="0" b="0"/>
            <wp:docPr id="4" name="图片 4" descr="nlarg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large Ima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2255" cy="262255"/>
                    </a:xfrm>
                    <a:prstGeom prst="rect">
                      <a:avLst/>
                    </a:prstGeom>
                    <a:noFill/>
                    <a:ln>
                      <a:noFill/>
                    </a:ln>
                  </pic:spPr>
                </pic:pic>
              </a:graphicData>
            </a:graphic>
          </wp:inline>
        </w:drawing>
      </w:r>
    </w:p>
    <w:p w14:paraId="0FA86D20" w14:textId="77777777" w:rsidR="003B286F" w:rsidRPr="0038562A" w:rsidRDefault="003B286F" w:rsidP="003B286F">
      <w:pPr>
        <w:pStyle w:val="a3"/>
        <w:shd w:val="clear" w:color="auto" w:fill="FFFFFF"/>
        <w:spacing w:before="0" w:beforeAutospacing="0" w:after="225" w:afterAutospacing="0"/>
        <w:rPr>
          <w:rFonts w:ascii="Times New Roman" w:hAnsi="Times New Roman"/>
          <w:color w:val="666666"/>
        </w:rPr>
      </w:pPr>
      <w:r w:rsidRPr="0038562A">
        <w:rPr>
          <w:rStyle w:val="a4"/>
          <w:rFonts w:ascii="Times New Roman" w:hAnsi="Times New Roman"/>
          <w:color w:val="666666"/>
        </w:rPr>
        <w:t>Note</w:t>
      </w:r>
      <w:r w:rsidRPr="0038562A">
        <w:rPr>
          <w:rFonts w:ascii="Times New Roman" w:hAnsi="Times New Roman"/>
          <w:color w:val="666666"/>
        </w:rPr>
        <w:t>: This is the typical layout of a balance sheet for one year. When balance sheets for two or more years are shown, assets are listed in the top section; liabilities and equity, in the bottom section. See</w:t>
      </w:r>
      <w:r w:rsidRPr="0038562A">
        <w:rPr>
          <w:rStyle w:val="apple-converted-space"/>
          <w:rFonts w:ascii="Times New Roman" w:hAnsi="Times New Roman"/>
          <w:color w:val="666666"/>
        </w:rPr>
        <w:t> </w:t>
      </w:r>
      <w:hyperlink r:id="rId12" w:history="1">
        <w:r w:rsidRPr="0038562A">
          <w:rPr>
            <w:rStyle w:val="a7"/>
            <w:rFonts w:ascii="Times New Roman" w:hAnsi="Times New Roman"/>
            <w:color w:val="008CD2"/>
          </w:rPr>
          <w:t>Table 3.1</w:t>
        </w:r>
      </w:hyperlink>
      <w:r w:rsidRPr="0038562A">
        <w:rPr>
          <w:rStyle w:val="apple-converted-space"/>
          <w:rFonts w:ascii="Times New Roman" w:hAnsi="Times New Roman"/>
          <w:color w:val="666666"/>
        </w:rPr>
        <w:t> </w:t>
      </w:r>
      <w:r w:rsidRPr="0038562A">
        <w:rPr>
          <w:rFonts w:ascii="Times New Roman" w:hAnsi="Times New Roman"/>
          <w:color w:val="666666"/>
        </w:rPr>
        <w:t>for an illustration.</w:t>
      </w:r>
    </w:p>
    <w:p w14:paraId="4B6F0D89"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The claims against assets are of two basic types—liabilities (or money the company owes to others) and stockholders’ equity. Current liabilities consist of claims that must be paid off within one year, including accounts payable, accruals (total of accrued wages and accrued taxes), and notes payable to banks and other short-term lenders that are due within one year. Long-term debt includes bonds that mature in more than a year.</w:t>
      </w:r>
    </w:p>
    <w:p w14:paraId="7E672159" w14:textId="77777777" w:rsidR="003B286F" w:rsidRPr="0038562A" w:rsidRDefault="00CD23D3" w:rsidP="003B286F">
      <w:pPr>
        <w:pStyle w:val="a3"/>
        <w:shd w:val="clear" w:color="auto" w:fill="FFFFFF"/>
        <w:spacing w:before="0" w:beforeAutospacing="0" w:after="225" w:afterAutospacing="0"/>
        <w:ind w:left="975" w:right="1500"/>
        <w:rPr>
          <w:rFonts w:ascii="Times New Roman" w:hAnsi="Times New Roman"/>
          <w:color w:val="666666"/>
        </w:rPr>
      </w:pPr>
      <w:hyperlink r:id="rId13" w:history="1">
        <w:r w:rsidR="003B286F" w:rsidRPr="0038562A">
          <w:rPr>
            <w:rStyle w:val="primaryterm"/>
            <w:rFonts w:ascii="Times New Roman" w:hAnsi="Times New Roman"/>
            <w:b/>
            <w:bCs/>
            <w:color w:val="0081BC"/>
          </w:rPr>
          <w:t>Stockholders’ equity</w:t>
        </w:r>
      </w:hyperlink>
      <w:r w:rsidR="003B286F" w:rsidRPr="0038562A">
        <w:rPr>
          <w:rStyle w:val="apple-converted-space"/>
          <w:rFonts w:ascii="Times New Roman" w:hAnsi="Times New Roman"/>
          <w:color w:val="666666"/>
        </w:rPr>
        <w:t> </w:t>
      </w:r>
      <w:r w:rsidR="003B286F" w:rsidRPr="0038562A">
        <w:rPr>
          <w:rFonts w:ascii="Times New Roman" w:hAnsi="Times New Roman"/>
          <w:color w:val="666666"/>
        </w:rPr>
        <w:t>can be thought of in two ways. First, it is the amount that stockholders paid to the company when they bought shares the company</w:t>
      </w:r>
      <w:bookmarkStart w:id="2" w:name="PageEnd_62"/>
      <w:bookmarkEnd w:id="2"/>
      <w:r w:rsidR="003B286F" w:rsidRPr="0038562A">
        <w:rPr>
          <w:rStyle w:val="apple-converted-space"/>
          <w:rFonts w:ascii="Times New Roman" w:hAnsi="Times New Roman"/>
          <w:color w:val="666666"/>
        </w:rPr>
        <w:t> </w:t>
      </w:r>
      <w:r w:rsidR="003B286F" w:rsidRPr="0038562A">
        <w:rPr>
          <w:rFonts w:ascii="Times New Roman" w:hAnsi="Times New Roman"/>
          <w:color w:val="666666"/>
        </w:rPr>
        <w:t>sold to raise capital, in addition to all of the earnings the company has retained over the years:</w:t>
      </w:r>
      <w:r w:rsidR="003B286F" w:rsidRPr="0038562A">
        <w:rPr>
          <w:rFonts w:ascii="Times New Roman" w:hAnsi="Times New Roman"/>
          <w:noProof/>
          <w:color w:val="008CD2"/>
        </w:rPr>
        <w:drawing>
          <wp:inline distT="0" distB="0" distL="0" distR="0" wp14:anchorId="701563C9" wp14:editId="7FA212B2">
            <wp:extent cx="167005" cy="167005"/>
            <wp:effectExtent l="0" t="0" r="10795" b="10795"/>
            <wp:docPr id="5" name="图片 5" descr="http://ng.cengage.com/static/nbapps/glossary/images/footstar.png">
              <a:hlinkClick xmlns:a="http://schemas.openxmlformats.org/drawingml/2006/main" r:id="rId12"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ng.cengage.com/static/nbapps/glossary/images/footstar.png">
                      <a:hlinkClick r:id="rId12" tooltip="&quot;Footnot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p>
    <w:p w14:paraId="557758B4"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The</w:t>
      </w:r>
      <w:r w:rsidRPr="0038562A">
        <w:rPr>
          <w:rStyle w:val="apple-converted-space"/>
          <w:rFonts w:ascii="Times New Roman" w:hAnsi="Times New Roman"/>
          <w:color w:val="666666"/>
        </w:rPr>
        <w:t> </w:t>
      </w:r>
      <w:hyperlink r:id="rId14" w:history="1">
        <w:r w:rsidRPr="0038562A">
          <w:rPr>
            <w:rStyle w:val="primaryterm"/>
            <w:rFonts w:ascii="Times New Roman" w:hAnsi="Times New Roman"/>
            <w:b/>
            <w:bCs/>
            <w:color w:val="0081BC"/>
          </w:rPr>
          <w:t>retained earnings</w:t>
        </w:r>
      </w:hyperlink>
      <w:r w:rsidRPr="0038562A">
        <w:rPr>
          <w:rStyle w:val="apple-converted-space"/>
          <w:rFonts w:ascii="Times New Roman" w:hAnsi="Times New Roman"/>
          <w:color w:val="666666"/>
        </w:rPr>
        <w:t> </w:t>
      </w:r>
      <w:r w:rsidRPr="0038562A">
        <w:rPr>
          <w:rFonts w:ascii="Times New Roman" w:hAnsi="Times New Roman"/>
          <w:color w:val="666666"/>
        </w:rPr>
        <w:t>are not just the earnings retained in the latest year—they are the cumulative total of all of the earnings the company has earned and retained during its life.</w:t>
      </w:r>
    </w:p>
    <w:p w14:paraId="5E92D784"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Stockholders’ equity can also be thought of as a residual:</w:t>
      </w:r>
    </w:p>
    <w:p w14:paraId="4262D2E5"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If Allied had invested surplus funds in bonds backed by subprime mortgages and the bonds’ value fell below their purchase price, the true value of the firm’s assets would have declined. The amount of its liabilities would not have changed—the firm would still owe the amount it had promised to pay its creditors. Therefore, the reported value of the common equity must decline. The accountants would make a series of entries, and the result would be a reduction in retained earnings—and thus in common equity. In the end, assets would equal liabilities and equity, and the balance sheet would balance. This example shows why common stock is more risky than bonds—any mistake that management makes has a big impact on the stockholders. Of course, gains from good decisions also go to the stockholders; so with risk come possible rewards.</w:t>
      </w:r>
    </w:p>
    <w:p w14:paraId="64418344"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Assets on the balance sheet are listed by the length of time before they will be converted to cash (inventories and accounts receivable) or used by the firm (fixed assets). Similarly, claims are listed in the order in which they must be paid: Accounts payable must generally be paid within a few days, accruals must also be paid promptly, notes payable to banks must be paid within one year, and so forth, down to the stockholders’ equity accounts, which represent ownership and need never be “paid off.”</w:t>
      </w:r>
    </w:p>
    <w:p w14:paraId="4055AD02" w14:textId="77777777" w:rsidR="003B286F" w:rsidRPr="0038562A" w:rsidRDefault="003B286F" w:rsidP="003B286F">
      <w:pPr>
        <w:pStyle w:val="2"/>
        <w:shd w:val="clear" w:color="auto" w:fill="FFFFFF"/>
        <w:spacing w:before="0" w:after="0"/>
        <w:rPr>
          <w:rFonts w:ascii="Times New Roman" w:eastAsia="Times New Roman" w:hAnsi="Times New Roman" w:cs="Times New Roman"/>
          <w:color w:val="DF7300"/>
          <w:sz w:val="20"/>
          <w:szCs w:val="20"/>
        </w:rPr>
      </w:pPr>
      <w:r w:rsidRPr="0038562A">
        <w:rPr>
          <w:rStyle w:val="sectionlabel"/>
          <w:rFonts w:ascii="Times New Roman" w:eastAsia="Times New Roman" w:hAnsi="Times New Roman" w:cs="Times New Roman"/>
          <w:color w:val="7A7A7A"/>
          <w:sz w:val="20"/>
          <w:szCs w:val="20"/>
        </w:rPr>
        <w:t>3-2A</w:t>
      </w:r>
      <w:r w:rsidRPr="0038562A">
        <w:rPr>
          <w:rStyle w:val="headingtext"/>
          <w:rFonts w:ascii="Times New Roman" w:eastAsia="Times New Roman" w:hAnsi="Times New Roman" w:cs="Times New Roman"/>
          <w:color w:val="DF7300"/>
          <w:sz w:val="20"/>
          <w:szCs w:val="20"/>
        </w:rPr>
        <w:t>Allied’s Balance Sheet</w:t>
      </w:r>
    </w:p>
    <w:p w14:paraId="31DAEF62" w14:textId="77777777" w:rsidR="003B286F" w:rsidRPr="0038562A" w:rsidRDefault="00CD23D3" w:rsidP="003B286F">
      <w:pPr>
        <w:pStyle w:val="a3"/>
        <w:shd w:val="clear" w:color="auto" w:fill="FFFFFF"/>
        <w:spacing w:before="0" w:beforeAutospacing="0" w:after="225" w:afterAutospacing="0"/>
        <w:ind w:left="975" w:right="1500"/>
        <w:rPr>
          <w:rFonts w:ascii="Times New Roman" w:hAnsi="Times New Roman"/>
          <w:color w:val="666666"/>
        </w:rPr>
      </w:pPr>
      <w:hyperlink r:id="rId15" w:history="1">
        <w:r w:rsidR="003B286F" w:rsidRPr="0038562A">
          <w:rPr>
            <w:rStyle w:val="a7"/>
            <w:rFonts w:ascii="Times New Roman" w:hAnsi="Times New Roman"/>
            <w:color w:val="008CD2"/>
          </w:rPr>
          <w:t>Table 3.1</w:t>
        </w:r>
      </w:hyperlink>
      <w:r w:rsidR="003B286F" w:rsidRPr="0038562A">
        <w:rPr>
          <w:rStyle w:val="apple-converted-space"/>
          <w:rFonts w:ascii="Times New Roman" w:hAnsi="Times New Roman"/>
          <w:color w:val="666666"/>
        </w:rPr>
        <w:t> </w:t>
      </w:r>
      <w:r w:rsidR="003B286F" w:rsidRPr="0038562A">
        <w:rPr>
          <w:rFonts w:ascii="Times New Roman" w:hAnsi="Times New Roman"/>
          <w:color w:val="666666"/>
        </w:rPr>
        <w:t xml:space="preserve">shows </w:t>
      </w:r>
      <w:proofErr w:type="spellStart"/>
      <w:r w:rsidR="003B286F" w:rsidRPr="0038562A">
        <w:rPr>
          <w:rFonts w:ascii="Times New Roman" w:hAnsi="Times New Roman"/>
          <w:color w:val="666666"/>
        </w:rPr>
        <w:t>Allied’s</w:t>
      </w:r>
      <w:proofErr w:type="spellEnd"/>
      <w:r w:rsidR="003B286F" w:rsidRPr="0038562A">
        <w:rPr>
          <w:rFonts w:ascii="Times New Roman" w:hAnsi="Times New Roman"/>
          <w:color w:val="666666"/>
        </w:rPr>
        <w:t xml:space="preserve"> year-end balance sheets for 2016 and 2015. From the 2016 statement, we see that Allied had $2 billion of assets—half current and half long term. These assets were financed with $310 million of current liabilities, $750 million of long-term debt, and $940 million of common equity. Comparing the balance sheets for 2016 and 2015, we see that </w:t>
      </w:r>
      <w:proofErr w:type="spellStart"/>
      <w:r w:rsidR="003B286F" w:rsidRPr="0038562A">
        <w:rPr>
          <w:rFonts w:ascii="Times New Roman" w:hAnsi="Times New Roman"/>
          <w:color w:val="666666"/>
        </w:rPr>
        <w:t>Allied’s</w:t>
      </w:r>
      <w:proofErr w:type="spellEnd"/>
      <w:r w:rsidR="003B286F" w:rsidRPr="0038562A">
        <w:rPr>
          <w:rFonts w:ascii="Times New Roman" w:hAnsi="Times New Roman"/>
          <w:color w:val="666666"/>
        </w:rPr>
        <w:t xml:space="preserve"> assets grew by $320 million and its liabilities and equity necessarily grew by that same amount. Assets must, of course, equal liabilities and equity; otherwise, the balance sheet does not balance.</w:t>
      </w:r>
    </w:p>
    <w:p w14:paraId="371E4B48" w14:textId="77777777" w:rsidR="003B286F" w:rsidRPr="0038562A" w:rsidRDefault="003B286F" w:rsidP="003B286F">
      <w:pPr>
        <w:spacing w:line="486" w:lineRule="atLeast"/>
        <w:rPr>
          <w:rFonts w:ascii="Times New Roman" w:eastAsia="Times New Roman" w:hAnsi="Times New Roman" w:cs="Times New Roman"/>
          <w:b/>
          <w:bCs/>
          <w:color w:val="C15827"/>
          <w:sz w:val="20"/>
          <w:szCs w:val="20"/>
        </w:rPr>
      </w:pPr>
      <w:r w:rsidRPr="0038562A">
        <w:rPr>
          <w:rStyle w:val="medialabeltext"/>
          <w:rFonts w:ascii="Times New Roman" w:eastAsia="Times New Roman" w:hAnsi="Times New Roman" w:cs="Times New Roman"/>
          <w:b/>
          <w:bCs/>
          <w:color w:val="C15827"/>
          <w:sz w:val="20"/>
          <w:szCs w:val="20"/>
          <w:shd w:val="clear" w:color="auto" w:fill="80B33D"/>
        </w:rPr>
        <w:t>Table</w:t>
      </w:r>
      <w:r w:rsidRPr="0038562A">
        <w:rPr>
          <w:rStyle w:val="apple-converted-space"/>
          <w:rFonts w:ascii="Times New Roman" w:eastAsia="Times New Roman" w:hAnsi="Times New Roman" w:cs="Times New Roman"/>
          <w:b/>
          <w:bCs/>
          <w:color w:val="C15827"/>
          <w:sz w:val="20"/>
          <w:szCs w:val="20"/>
          <w:shd w:val="clear" w:color="auto" w:fill="80B33D"/>
        </w:rPr>
        <w:t> </w:t>
      </w:r>
      <w:r w:rsidRPr="0038562A">
        <w:rPr>
          <w:rStyle w:val="mediafigurenumber"/>
          <w:rFonts w:ascii="Times New Roman" w:eastAsia="Times New Roman" w:hAnsi="Times New Roman" w:cs="Times New Roman"/>
          <w:b/>
          <w:bCs/>
          <w:color w:val="C15827"/>
          <w:sz w:val="20"/>
          <w:szCs w:val="20"/>
          <w:shd w:val="clear" w:color="auto" w:fill="80B33D"/>
        </w:rPr>
        <w:t>3.1</w:t>
      </w:r>
      <w:r w:rsidRPr="0038562A">
        <w:rPr>
          <w:rStyle w:val="mediaassettitle"/>
          <w:rFonts w:ascii="Times New Roman" w:eastAsia="Times New Roman" w:hAnsi="Times New Roman" w:cs="Times New Roman"/>
          <w:b/>
          <w:bCs/>
          <w:color w:val="C15827"/>
          <w:sz w:val="20"/>
          <w:szCs w:val="20"/>
          <w:bdr w:val="none" w:sz="0" w:space="0" w:color="auto" w:frame="1"/>
        </w:rPr>
        <w:t>Allied Food Products: December 31 Balance Sheets (Millions of Dollars)</w:t>
      </w:r>
    </w:p>
    <w:p w14:paraId="203AEA57" w14:textId="77777777" w:rsidR="003B286F" w:rsidRPr="0038562A" w:rsidRDefault="003B286F" w:rsidP="003B286F">
      <w:pPr>
        <w:shd w:val="clear" w:color="auto" w:fill="FFFFFF"/>
        <w:spacing w:line="486" w:lineRule="atLeast"/>
        <w:jc w:val="center"/>
        <w:rPr>
          <w:rFonts w:ascii="Times New Roman" w:eastAsia="Times New Roman" w:hAnsi="Times New Roman" w:cs="Times New Roman"/>
          <w:color w:val="666666"/>
          <w:sz w:val="20"/>
          <w:szCs w:val="20"/>
        </w:rPr>
      </w:pPr>
    </w:p>
    <w:p w14:paraId="0F3CD5A3" w14:textId="77777777" w:rsidR="003B286F" w:rsidRPr="0038562A" w:rsidRDefault="003B286F" w:rsidP="003B286F">
      <w:pPr>
        <w:shd w:val="clear" w:color="auto" w:fill="FFFFFF"/>
        <w:spacing w:line="486" w:lineRule="atLeast"/>
        <w:jc w:val="center"/>
        <w:rPr>
          <w:rFonts w:ascii="Times New Roman" w:eastAsia="Times New Roman" w:hAnsi="Times New Roman" w:cs="Times New Roman"/>
          <w:color w:val="666666"/>
          <w:sz w:val="20"/>
          <w:szCs w:val="20"/>
        </w:rPr>
      </w:pPr>
      <w:r w:rsidRPr="0038562A">
        <w:rPr>
          <w:rFonts w:ascii="Times New Roman" w:eastAsia="Times New Roman" w:hAnsi="Times New Roman" w:cs="Times New Roman"/>
          <w:noProof/>
          <w:color w:val="666666"/>
          <w:sz w:val="20"/>
          <w:szCs w:val="20"/>
        </w:rPr>
        <w:drawing>
          <wp:inline distT="0" distB="0" distL="0" distR="0" wp14:anchorId="07B44076" wp14:editId="2919A3D8">
            <wp:extent cx="262255" cy="262255"/>
            <wp:effectExtent l="0" t="0" r="0" b="0"/>
            <wp:docPr id="9" name="图片 9" descr="nlarg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nlarge Ima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2255" cy="262255"/>
                    </a:xfrm>
                    <a:prstGeom prst="rect">
                      <a:avLst/>
                    </a:prstGeom>
                    <a:noFill/>
                    <a:ln>
                      <a:noFill/>
                    </a:ln>
                  </pic:spPr>
                </pic:pic>
              </a:graphicData>
            </a:graphic>
          </wp:inline>
        </w:drawing>
      </w:r>
    </w:p>
    <w:p w14:paraId="2BDC9360" w14:textId="77777777" w:rsidR="003B286F" w:rsidRPr="0038562A" w:rsidRDefault="003B286F" w:rsidP="003B286F">
      <w:pPr>
        <w:pStyle w:val="a3"/>
        <w:shd w:val="clear" w:color="auto" w:fill="FFFFFF"/>
        <w:spacing w:before="0" w:beforeAutospacing="0" w:after="225" w:afterAutospacing="0"/>
        <w:rPr>
          <w:rFonts w:ascii="Times New Roman" w:hAnsi="Times New Roman"/>
          <w:color w:val="666666"/>
        </w:rPr>
      </w:pPr>
      <w:r w:rsidRPr="0038562A">
        <w:rPr>
          <w:rStyle w:val="a4"/>
          <w:rFonts w:ascii="Times New Roman" w:hAnsi="Times New Roman"/>
          <w:color w:val="666666"/>
        </w:rPr>
        <w:t>Notes:</w:t>
      </w:r>
    </w:p>
    <w:p w14:paraId="480E9674" w14:textId="77777777" w:rsidR="003B286F" w:rsidRPr="0038562A" w:rsidRDefault="003B286F" w:rsidP="003B286F">
      <w:pPr>
        <w:pStyle w:val="a3"/>
        <w:numPr>
          <w:ilvl w:val="0"/>
          <w:numId w:val="2"/>
        </w:numPr>
        <w:shd w:val="clear" w:color="auto" w:fill="FFFFFF"/>
        <w:spacing w:before="0" w:beforeAutospacing="0" w:after="0" w:afterAutospacing="0"/>
        <w:ind w:left="0"/>
        <w:rPr>
          <w:rFonts w:ascii="Times New Roman" w:hAnsi="Times New Roman"/>
          <w:color w:val="666666"/>
        </w:rPr>
      </w:pPr>
      <w:r w:rsidRPr="0038562A">
        <w:rPr>
          <w:rFonts w:ascii="Times New Roman" w:hAnsi="Times New Roman"/>
          <w:color w:val="666666"/>
        </w:rPr>
        <w:t>Inventories can be valued by several different methods, and the method chosen can affect both the balance sheet value and the cost of goods sold, and thus net income, as reported on the income statement. Similarly, companies can use different depreciation methods. The methods used must be reported in the notes to the financial statements, and security analysts can make adjustments when they compare companies if they think the differences are material.</w:t>
      </w:r>
    </w:p>
    <w:p w14:paraId="72AEAC0A" w14:textId="77777777" w:rsidR="003B286F" w:rsidRPr="0038562A" w:rsidRDefault="003B286F" w:rsidP="003B286F">
      <w:pPr>
        <w:pStyle w:val="a3"/>
        <w:numPr>
          <w:ilvl w:val="0"/>
          <w:numId w:val="2"/>
        </w:numPr>
        <w:shd w:val="clear" w:color="auto" w:fill="FFFFFF"/>
        <w:spacing w:before="0" w:beforeAutospacing="0" w:after="0" w:afterAutospacing="0"/>
        <w:ind w:left="0"/>
        <w:rPr>
          <w:rFonts w:ascii="Times New Roman" w:hAnsi="Times New Roman"/>
          <w:color w:val="666666"/>
        </w:rPr>
      </w:pPr>
      <w:r w:rsidRPr="0038562A">
        <w:rPr>
          <w:rFonts w:ascii="Times New Roman" w:hAnsi="Times New Roman"/>
          <w:color w:val="666666"/>
        </w:rPr>
        <w:t>Book value per share:</w:t>
      </w:r>
      <w:r w:rsidRPr="0038562A">
        <w:rPr>
          <w:rStyle w:val="apple-converted-space"/>
          <w:rFonts w:ascii="Times New Roman" w:hAnsi="Times New Roman"/>
          <w:color w:val="666666"/>
        </w:rPr>
        <w:t> </w:t>
      </w:r>
      <w:r w:rsidRPr="0038562A">
        <w:rPr>
          <w:rFonts w:ascii="Times New Roman" w:hAnsi="Times New Roman"/>
          <w:color w:val="666666"/>
        </w:rPr>
        <w:t>.</w:t>
      </w:r>
    </w:p>
    <w:p w14:paraId="320AFBE9" w14:textId="77777777" w:rsidR="003B286F" w:rsidRPr="0038562A" w:rsidRDefault="003B286F" w:rsidP="003B286F">
      <w:pPr>
        <w:pStyle w:val="a3"/>
        <w:numPr>
          <w:ilvl w:val="0"/>
          <w:numId w:val="2"/>
        </w:numPr>
        <w:shd w:val="clear" w:color="auto" w:fill="FFFFFF"/>
        <w:spacing w:before="0" w:beforeAutospacing="0" w:after="0" w:afterAutospacing="0"/>
        <w:ind w:left="0"/>
        <w:rPr>
          <w:rFonts w:ascii="Times New Roman" w:hAnsi="Times New Roman"/>
          <w:color w:val="666666"/>
        </w:rPr>
      </w:pPr>
      <w:r w:rsidRPr="0038562A">
        <w:rPr>
          <w:rFonts w:ascii="Times New Roman" w:hAnsi="Times New Roman"/>
          <w:color w:val="666666"/>
        </w:rPr>
        <w:t>A relatively few firms use preferred stock, which we discuss in</w:t>
      </w:r>
      <w:r w:rsidRPr="0038562A">
        <w:rPr>
          <w:rStyle w:val="apple-converted-space"/>
          <w:rFonts w:ascii="Times New Roman" w:hAnsi="Times New Roman"/>
          <w:color w:val="666666"/>
        </w:rPr>
        <w:t> </w:t>
      </w:r>
      <w:hyperlink r:id="rId16" w:history="1">
        <w:r w:rsidRPr="0038562A">
          <w:rPr>
            <w:rStyle w:val="a7"/>
            <w:rFonts w:ascii="Times New Roman" w:hAnsi="Times New Roman"/>
            <w:color w:val="008CD2"/>
          </w:rPr>
          <w:t>Chapter 9</w:t>
        </w:r>
      </w:hyperlink>
      <w:r w:rsidRPr="0038562A">
        <w:rPr>
          <w:rFonts w:ascii="Times New Roman" w:hAnsi="Times New Roman"/>
          <w:color w:val="666666"/>
        </w:rPr>
        <w:t>. Preferred stock can take several different forms, but it is generally like debt because it pays a fixed amount each year. However, it is like common stock because a failure to pay the preferred dividend does not expose the firm to bankruptcy. If a firm does use preferred stock, it is shown on the balance sheet between total debt and common stock. There is no set rule on how preferred stock should be treated when financial ratios are calculated—it could be considered as debt or as equity. Bondholders often think of it as equity, while stockholders think of it as debt because it is a fixed charge. In truth, preferred stock is a hybrid, somewhere between debt and common equity.</w:t>
      </w:r>
    </w:p>
    <w:p w14:paraId="6A6EF248"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Several additional points about the balance sheet should be noted:</w:t>
      </w:r>
    </w:p>
    <w:p w14:paraId="3D51AFCA" w14:textId="77777777" w:rsidR="003B286F" w:rsidRPr="0038562A" w:rsidRDefault="003B286F" w:rsidP="003B286F">
      <w:pPr>
        <w:pStyle w:val="a3"/>
        <w:numPr>
          <w:ilvl w:val="0"/>
          <w:numId w:val="3"/>
        </w:numPr>
        <w:shd w:val="clear" w:color="auto" w:fill="FFFFFF"/>
        <w:spacing w:before="0" w:beforeAutospacing="0" w:after="0" w:afterAutospacing="0"/>
        <w:ind w:left="975" w:right="1500"/>
        <w:rPr>
          <w:rFonts w:ascii="Times New Roman" w:hAnsi="Times New Roman"/>
          <w:color w:val="666666"/>
        </w:rPr>
      </w:pPr>
      <w:r w:rsidRPr="0038562A">
        <w:rPr>
          <w:rStyle w:val="a4"/>
          <w:rFonts w:ascii="Times New Roman" w:hAnsi="Times New Roman"/>
          <w:color w:val="666666"/>
        </w:rPr>
        <w:t>Cash versus other assets.</w:t>
      </w:r>
      <w:r w:rsidRPr="0038562A">
        <w:rPr>
          <w:rStyle w:val="apple-converted-space"/>
          <w:rFonts w:ascii="Times New Roman" w:hAnsi="Times New Roman"/>
          <w:color w:val="666666"/>
        </w:rPr>
        <w:t> </w:t>
      </w:r>
      <w:r w:rsidRPr="0038562A">
        <w:rPr>
          <w:rFonts w:ascii="Times New Roman" w:hAnsi="Times New Roman"/>
          <w:color w:val="666666"/>
        </w:rPr>
        <w:t>Although assets are reported in dollar terms, only the cash and equivalents account represents actual spendable money. Accounts receivable represent credit sales that have not yet been collected. Inventories show the cost of raw materials, work in process, and finished goods. Net fixed assets represent the cost of the buildings and equipment used in operations minus the depreciation that has been taken on these assets. At the end of 2016, Allied has $10 million of cash; hence, it could write checks totaling that amount. The noncash assets should generate cash over time, but they do not represent cash in hand. And the cash they would bring in if they were sold today could be higher or lower than the values reported on the balance sheet.</w:t>
      </w:r>
      <w:bookmarkStart w:id="3" w:name="PageEnd_63"/>
      <w:bookmarkEnd w:id="3"/>
    </w:p>
    <w:p w14:paraId="01D1A6FD" w14:textId="77777777" w:rsidR="003B286F" w:rsidRPr="0038562A" w:rsidRDefault="003B286F" w:rsidP="003B286F">
      <w:pPr>
        <w:pStyle w:val="a3"/>
        <w:numPr>
          <w:ilvl w:val="0"/>
          <w:numId w:val="3"/>
        </w:numPr>
        <w:shd w:val="clear" w:color="auto" w:fill="FFFFFF"/>
        <w:spacing w:before="0" w:beforeAutospacing="0" w:after="0" w:afterAutospacing="0"/>
        <w:ind w:left="975" w:right="1500"/>
        <w:rPr>
          <w:rFonts w:ascii="Times New Roman" w:hAnsi="Times New Roman"/>
          <w:color w:val="666666"/>
        </w:rPr>
      </w:pPr>
      <w:r w:rsidRPr="0038562A">
        <w:rPr>
          <w:rStyle w:val="a4"/>
          <w:rFonts w:ascii="Times New Roman" w:hAnsi="Times New Roman"/>
          <w:color w:val="666666"/>
        </w:rPr>
        <w:t>Working capital.</w:t>
      </w:r>
      <w:r w:rsidRPr="0038562A">
        <w:rPr>
          <w:rStyle w:val="apple-converted-space"/>
          <w:rFonts w:ascii="Times New Roman" w:hAnsi="Times New Roman"/>
          <w:color w:val="666666"/>
        </w:rPr>
        <w:t> </w:t>
      </w:r>
      <w:r w:rsidRPr="0038562A">
        <w:rPr>
          <w:rFonts w:ascii="Times New Roman" w:hAnsi="Times New Roman"/>
          <w:color w:val="666666"/>
        </w:rPr>
        <w:t>Current assets are often called</w:t>
      </w:r>
      <w:r w:rsidRPr="0038562A">
        <w:rPr>
          <w:rStyle w:val="apple-converted-space"/>
          <w:rFonts w:ascii="Times New Roman" w:hAnsi="Times New Roman"/>
          <w:color w:val="666666"/>
        </w:rPr>
        <w:t> </w:t>
      </w:r>
      <w:hyperlink r:id="rId17" w:history="1">
        <w:r w:rsidRPr="0038562A">
          <w:rPr>
            <w:rStyle w:val="primaryterm"/>
            <w:rFonts w:ascii="Times New Roman" w:hAnsi="Times New Roman"/>
            <w:b/>
            <w:bCs/>
            <w:color w:val="0081BC"/>
          </w:rPr>
          <w:t>working capital</w:t>
        </w:r>
      </w:hyperlink>
      <w:r w:rsidRPr="0038562A">
        <w:rPr>
          <w:rStyle w:val="apple-converted-space"/>
          <w:rFonts w:ascii="Times New Roman" w:hAnsi="Times New Roman"/>
          <w:color w:val="666666"/>
        </w:rPr>
        <w:t> </w:t>
      </w:r>
      <w:r w:rsidRPr="0038562A">
        <w:rPr>
          <w:rFonts w:ascii="Times New Roman" w:hAnsi="Times New Roman"/>
          <w:color w:val="666666"/>
        </w:rPr>
        <w:t xml:space="preserve">because these assets “turn over”; that is, they are used and then replaced throughout the year. When Allied buys inventory items on credit, its suppliers, in effect, lend it the money used to finance the inventory items. Allied could have borrowed from its bank or sold stock to obtain the money, but it received the funds from its suppliers. These loans are shown as accounts payable, and they typically are “free” in the sense that they do not bear interest. Similarly, Allied pays its workers every two weeks and pays taxes quarterly; so </w:t>
      </w:r>
      <w:proofErr w:type="spellStart"/>
      <w:r w:rsidRPr="0038562A">
        <w:rPr>
          <w:rFonts w:ascii="Times New Roman" w:hAnsi="Times New Roman"/>
          <w:color w:val="666666"/>
        </w:rPr>
        <w:t>Allied’s</w:t>
      </w:r>
      <w:proofErr w:type="spellEnd"/>
      <w:r w:rsidRPr="0038562A">
        <w:rPr>
          <w:rFonts w:ascii="Times New Roman" w:hAnsi="Times New Roman"/>
          <w:color w:val="666666"/>
        </w:rPr>
        <w:t xml:space="preserve"> labor force and taxing authorities provide it with loans equal to its accrued wages and taxes. In addition to these “free” sources of short-term credit, Allied borrows from its bank on a short-term basis. These bank loans are shown as notes payable. Although accounts payable and accruals do not bear interest, Allied pays interest on funds obtained from the bank. The total of accounts payable, accruals, and</w:t>
      </w:r>
      <w:bookmarkStart w:id="4" w:name="PageEnd_64"/>
      <w:bookmarkEnd w:id="4"/>
      <w:r w:rsidRPr="0038562A">
        <w:rPr>
          <w:rStyle w:val="apple-converted-space"/>
          <w:rFonts w:ascii="Times New Roman" w:hAnsi="Times New Roman"/>
          <w:color w:val="666666"/>
        </w:rPr>
        <w:t> </w:t>
      </w:r>
      <w:r w:rsidRPr="0038562A">
        <w:rPr>
          <w:rFonts w:ascii="Times New Roman" w:hAnsi="Times New Roman"/>
          <w:color w:val="666666"/>
        </w:rPr>
        <w:t>notes payable represent current liabilities on its balance sheet. If we subtract current liabilities from current assets, the difference is called</w:t>
      </w:r>
      <w:r w:rsidRPr="0038562A">
        <w:rPr>
          <w:rStyle w:val="apple-converted-space"/>
          <w:rFonts w:ascii="Times New Roman" w:hAnsi="Times New Roman"/>
          <w:color w:val="666666"/>
        </w:rPr>
        <w:t> </w:t>
      </w:r>
      <w:hyperlink r:id="rId18" w:history="1">
        <w:r w:rsidRPr="0038562A">
          <w:rPr>
            <w:rStyle w:val="primaryterm"/>
            <w:rFonts w:ascii="Times New Roman" w:hAnsi="Times New Roman"/>
            <w:b/>
            <w:bCs/>
            <w:color w:val="0081BC"/>
          </w:rPr>
          <w:t>net working capital</w:t>
        </w:r>
      </w:hyperlink>
      <w:r w:rsidRPr="0038562A">
        <w:rPr>
          <w:rFonts w:ascii="Times New Roman" w:hAnsi="Times New Roman"/>
          <w:color w:val="666666"/>
        </w:rPr>
        <w:t>:</w:t>
      </w:r>
    </w:p>
    <w:p w14:paraId="62FFD9C7"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Current liabilities include accounts payable, accruals, and notes payable to the bank. Financial analysts often make an important distinction between the “free” liabilities (accruals and accounts payable) and interest-bearing notes payable (which incur interest expense that is included as a financing cost on the firm’s income statement). With this distinction in mind, analysts often focus on</w:t>
      </w:r>
      <w:r w:rsidRPr="0038562A">
        <w:rPr>
          <w:rStyle w:val="apple-converted-space"/>
          <w:rFonts w:ascii="Times New Roman" w:hAnsi="Times New Roman"/>
          <w:color w:val="666666"/>
        </w:rPr>
        <w:t> </w:t>
      </w:r>
      <w:hyperlink r:id="rId19" w:history="1">
        <w:r w:rsidRPr="0038562A">
          <w:rPr>
            <w:rStyle w:val="primaryterm"/>
            <w:rFonts w:ascii="Times New Roman" w:hAnsi="Times New Roman"/>
            <w:b/>
            <w:bCs/>
            <w:color w:val="0081BC"/>
          </w:rPr>
          <w:t>net operating working capital (NOWC)</w:t>
        </w:r>
      </w:hyperlink>
      <w:r w:rsidRPr="0038562A">
        <w:rPr>
          <w:rFonts w:ascii="Times New Roman" w:hAnsi="Times New Roman"/>
          <w:color w:val="666666"/>
        </w:rPr>
        <w:t>which differs from net working capital because interest-bearing notes payable are subtracted from current liabilities:</w:t>
      </w:r>
    </w:p>
    <w:p w14:paraId="0C528509" w14:textId="77777777" w:rsidR="003B286F" w:rsidRPr="0038562A" w:rsidRDefault="003B286F" w:rsidP="003B286F">
      <w:pPr>
        <w:shd w:val="clear" w:color="auto" w:fill="FFFFFF"/>
        <w:spacing w:line="486" w:lineRule="atLeast"/>
        <w:jc w:val="center"/>
        <w:textAlignment w:val="top"/>
        <w:rPr>
          <w:rFonts w:ascii="Times New Roman" w:eastAsia="Times New Roman" w:hAnsi="Times New Roman" w:cs="Times New Roman"/>
          <w:b/>
          <w:bCs/>
          <w:color w:val="000000"/>
          <w:sz w:val="20"/>
          <w:szCs w:val="20"/>
        </w:rPr>
      </w:pPr>
      <w:r w:rsidRPr="0038562A">
        <w:rPr>
          <w:rFonts w:ascii="Times New Roman" w:eastAsia="Times New Roman" w:hAnsi="Times New Roman" w:cs="Times New Roman"/>
          <w:b/>
          <w:bCs/>
          <w:color w:val="000000"/>
          <w:sz w:val="20"/>
          <w:szCs w:val="20"/>
        </w:rPr>
        <w:t>3.1</w:t>
      </w:r>
    </w:p>
    <w:p w14:paraId="54C6574D"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 xml:space="preserve">Note that </w:t>
      </w:r>
      <w:proofErr w:type="spellStart"/>
      <w:r w:rsidRPr="0038562A">
        <w:rPr>
          <w:rFonts w:ascii="Times New Roman" w:hAnsi="Times New Roman"/>
          <w:color w:val="666666"/>
        </w:rPr>
        <w:t>Allied’s</w:t>
      </w:r>
      <w:proofErr w:type="spellEnd"/>
      <w:r w:rsidRPr="0038562A">
        <w:rPr>
          <w:rFonts w:ascii="Times New Roman" w:hAnsi="Times New Roman"/>
          <w:color w:val="666666"/>
        </w:rPr>
        <w:t xml:space="preserve"> “free,” or non-interest-bearing, current liabilities in 2016 total $200 million ($310 million in current liabilities less the $110 million in interest-bearing notes payable).</w:t>
      </w:r>
    </w:p>
    <w:p w14:paraId="5810052E" w14:textId="77777777" w:rsidR="003B286F" w:rsidRPr="0038562A" w:rsidRDefault="003B286F" w:rsidP="003B286F">
      <w:pPr>
        <w:pStyle w:val="1"/>
        <w:shd w:val="clear" w:color="auto" w:fill="FFFFFF"/>
        <w:spacing w:before="0" w:beforeAutospacing="0" w:after="0" w:afterAutospacing="0"/>
        <w:ind w:left="975" w:right="1500"/>
        <w:rPr>
          <w:rFonts w:ascii="Times New Roman" w:eastAsia="Times New Roman" w:hAnsi="Times New Roman" w:cs="Times New Roman"/>
          <w:b w:val="0"/>
          <w:bCs w:val="0"/>
          <w:color w:val="007DB8"/>
          <w:sz w:val="20"/>
          <w:szCs w:val="20"/>
        </w:rPr>
      </w:pPr>
      <w:r w:rsidRPr="0038562A">
        <w:rPr>
          <w:rStyle w:val="sectionlabel"/>
          <w:rFonts w:ascii="Times New Roman" w:eastAsia="Times New Roman" w:hAnsi="Times New Roman" w:cs="Times New Roman"/>
          <w:color w:val="7A7A7A"/>
          <w:sz w:val="20"/>
          <w:szCs w:val="20"/>
        </w:rPr>
        <w:t>3-3</w:t>
      </w:r>
      <w:r w:rsidRPr="0038562A">
        <w:rPr>
          <w:rStyle w:val="headingtext"/>
          <w:rFonts w:ascii="Times New Roman" w:eastAsia="Times New Roman" w:hAnsi="Times New Roman" w:cs="Times New Roman"/>
          <w:b w:val="0"/>
          <w:bCs w:val="0"/>
          <w:color w:val="007DB8"/>
          <w:sz w:val="20"/>
          <w:szCs w:val="20"/>
        </w:rPr>
        <w:t>The Income Statement</w:t>
      </w:r>
    </w:p>
    <w:p w14:paraId="79A3983D" w14:textId="77777777" w:rsidR="003B286F" w:rsidRPr="0038562A" w:rsidRDefault="00CD23D3" w:rsidP="003B286F">
      <w:pPr>
        <w:pStyle w:val="a3"/>
        <w:shd w:val="clear" w:color="auto" w:fill="FFFFFF"/>
        <w:spacing w:before="0" w:beforeAutospacing="0" w:after="225" w:afterAutospacing="0"/>
        <w:ind w:left="975" w:right="1500"/>
        <w:rPr>
          <w:rFonts w:ascii="Times New Roman" w:hAnsi="Times New Roman"/>
          <w:color w:val="666666"/>
        </w:rPr>
      </w:pPr>
      <w:hyperlink r:id="rId20" w:history="1">
        <w:r w:rsidR="003B286F" w:rsidRPr="0038562A">
          <w:rPr>
            <w:rStyle w:val="a7"/>
            <w:rFonts w:ascii="Times New Roman" w:hAnsi="Times New Roman"/>
            <w:color w:val="008CD2"/>
          </w:rPr>
          <w:t>Table 3.2</w:t>
        </w:r>
      </w:hyperlink>
      <w:r w:rsidR="003B286F" w:rsidRPr="0038562A">
        <w:rPr>
          <w:rStyle w:val="apple-converted-space"/>
          <w:rFonts w:ascii="Times New Roman" w:hAnsi="Times New Roman"/>
          <w:color w:val="666666"/>
        </w:rPr>
        <w:t> </w:t>
      </w:r>
      <w:r w:rsidR="003B286F" w:rsidRPr="0038562A">
        <w:rPr>
          <w:rFonts w:ascii="Times New Roman" w:hAnsi="Times New Roman"/>
          <w:color w:val="666666"/>
        </w:rPr>
        <w:t xml:space="preserve">shows </w:t>
      </w:r>
      <w:proofErr w:type="spellStart"/>
      <w:r w:rsidR="003B286F" w:rsidRPr="0038562A">
        <w:rPr>
          <w:rFonts w:ascii="Times New Roman" w:hAnsi="Times New Roman"/>
          <w:color w:val="666666"/>
        </w:rPr>
        <w:t>Allied’s</w:t>
      </w:r>
      <w:proofErr w:type="spellEnd"/>
      <w:r w:rsidR="003B286F" w:rsidRPr="0038562A">
        <w:rPr>
          <w:rFonts w:ascii="Times New Roman" w:hAnsi="Times New Roman"/>
          <w:color w:val="666666"/>
        </w:rPr>
        <w:t xml:space="preserve"> 2015 and 2016</w:t>
      </w:r>
      <w:r w:rsidR="003B286F" w:rsidRPr="0038562A">
        <w:rPr>
          <w:rStyle w:val="apple-converted-space"/>
          <w:rFonts w:ascii="Times New Roman" w:hAnsi="Times New Roman"/>
          <w:color w:val="666666"/>
        </w:rPr>
        <w:t> </w:t>
      </w:r>
      <w:hyperlink r:id="rId21" w:history="1">
        <w:r w:rsidR="003B286F" w:rsidRPr="0038562A">
          <w:rPr>
            <w:rStyle w:val="primaryterm"/>
            <w:rFonts w:ascii="Times New Roman" w:hAnsi="Times New Roman"/>
            <w:b/>
            <w:bCs/>
            <w:color w:val="0081BC"/>
          </w:rPr>
          <w:t>income statements</w:t>
        </w:r>
      </w:hyperlink>
      <w:r w:rsidR="003B286F" w:rsidRPr="0038562A">
        <w:rPr>
          <w:rFonts w:ascii="Times New Roman" w:hAnsi="Times New Roman"/>
          <w:color w:val="666666"/>
        </w:rPr>
        <w:t>. Net sales are shown at the top of the statement; then operating costs, interest, and taxes are subtracted to obtain the net income available to common shareholders. We also show earnings and dividends per share, in addition to some other data, at the bottom of</w:t>
      </w:r>
      <w:r w:rsidR="003B286F" w:rsidRPr="0038562A">
        <w:rPr>
          <w:rStyle w:val="apple-converted-space"/>
          <w:rFonts w:ascii="Times New Roman" w:hAnsi="Times New Roman"/>
          <w:color w:val="666666"/>
        </w:rPr>
        <w:t> </w:t>
      </w:r>
      <w:hyperlink r:id="rId22" w:history="1">
        <w:r w:rsidR="003B286F" w:rsidRPr="0038562A">
          <w:rPr>
            <w:rStyle w:val="a7"/>
            <w:rFonts w:ascii="Times New Roman" w:hAnsi="Times New Roman"/>
            <w:color w:val="008CD2"/>
          </w:rPr>
          <w:t>Table 3.2</w:t>
        </w:r>
      </w:hyperlink>
      <w:r w:rsidR="003B286F" w:rsidRPr="0038562A">
        <w:rPr>
          <w:rFonts w:ascii="Times New Roman" w:hAnsi="Times New Roman"/>
          <w:color w:val="666666"/>
        </w:rPr>
        <w:t>. Earnings per share (EPS) is often called “the bottom line,” denoting that of all items on the income statement, EPS is the one that is most important to stockholders. Allied earned $2.35 per share in 2016, down from $2.44 in 2015. In spite of the decline in earnings, the firm still increased the dividend from $1.06 to $1.15.</w:t>
      </w:r>
    </w:p>
    <w:p w14:paraId="141456E5" w14:textId="77777777" w:rsidR="003B286F" w:rsidRPr="0038562A" w:rsidRDefault="003B286F" w:rsidP="003B286F">
      <w:pPr>
        <w:pStyle w:val="1"/>
        <w:shd w:val="clear" w:color="auto" w:fill="FFFFFF"/>
        <w:spacing w:before="360" w:beforeAutospacing="0" w:after="0" w:afterAutospacing="0"/>
        <w:ind w:left="975" w:right="1500"/>
        <w:rPr>
          <w:rFonts w:ascii="Times New Roman" w:eastAsia="Times New Roman" w:hAnsi="Times New Roman" w:cs="Times New Roman"/>
          <w:b w:val="0"/>
          <w:bCs w:val="0"/>
          <w:color w:val="007DB8"/>
          <w:sz w:val="20"/>
          <w:szCs w:val="20"/>
        </w:rPr>
      </w:pPr>
      <w:r w:rsidRPr="0038562A">
        <w:rPr>
          <w:rStyle w:val="headingtext"/>
          <w:rFonts w:ascii="Times New Roman" w:eastAsia="Times New Roman" w:hAnsi="Times New Roman" w:cs="Times New Roman"/>
          <w:b w:val="0"/>
          <w:bCs w:val="0"/>
          <w:color w:val="007DB8"/>
          <w:sz w:val="20"/>
          <w:szCs w:val="20"/>
        </w:rPr>
        <w:t>3-4 Statement of Cash Flows</w:t>
      </w:r>
    </w:p>
    <w:p w14:paraId="6B56570C"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Net income as reported on the income statement is not cash; and in finance, “cash is king.” Management’s goal is to maximize the price of the firm’s stock; and the value of any asset, including a share of stock, is based on the cash flows the asset is expected to produce. Therefore, managers strive to maximize the cash flows available to investors. The</w:t>
      </w:r>
      <w:r w:rsidRPr="0038562A">
        <w:rPr>
          <w:rStyle w:val="apple-converted-space"/>
          <w:rFonts w:ascii="Times New Roman" w:hAnsi="Times New Roman"/>
          <w:color w:val="666666"/>
        </w:rPr>
        <w:t> </w:t>
      </w:r>
      <w:hyperlink r:id="rId23" w:history="1">
        <w:r w:rsidRPr="0038562A">
          <w:rPr>
            <w:rStyle w:val="primaryterm"/>
            <w:rFonts w:ascii="Times New Roman" w:hAnsi="Times New Roman"/>
            <w:b/>
            <w:bCs/>
            <w:color w:val="0081BC"/>
          </w:rPr>
          <w:t>statement of cash flows</w:t>
        </w:r>
      </w:hyperlink>
      <w:r w:rsidRPr="0038562A">
        <w:rPr>
          <w:rFonts w:ascii="Times New Roman" w:hAnsi="Times New Roman"/>
          <w:color w:val="666666"/>
        </w:rPr>
        <w:t>, as shown in</w:t>
      </w:r>
      <w:r w:rsidRPr="0038562A">
        <w:rPr>
          <w:rStyle w:val="apple-converted-space"/>
          <w:rFonts w:ascii="Times New Roman" w:hAnsi="Times New Roman"/>
          <w:color w:val="666666"/>
        </w:rPr>
        <w:t> </w:t>
      </w:r>
      <w:hyperlink r:id="rId24" w:history="1">
        <w:r w:rsidRPr="0038562A">
          <w:rPr>
            <w:rStyle w:val="a7"/>
            <w:rFonts w:ascii="Times New Roman" w:hAnsi="Times New Roman"/>
            <w:color w:val="008CD2"/>
          </w:rPr>
          <w:t>Table 3.3</w:t>
        </w:r>
      </w:hyperlink>
      <w:r w:rsidRPr="0038562A">
        <w:rPr>
          <w:rFonts w:ascii="Times New Roman" w:hAnsi="Times New Roman"/>
          <w:color w:val="666666"/>
        </w:rPr>
        <w:t>, is the accounting report that shows how much cash the firm is generating. The statement is divided into four sections, and we explain it on a line-by-line basis.</w:t>
      </w:r>
      <w:r w:rsidRPr="0038562A">
        <w:rPr>
          <w:rFonts w:ascii="Times New Roman" w:hAnsi="Times New Roman"/>
          <w:noProof/>
          <w:color w:val="008CD2"/>
        </w:rPr>
        <w:drawing>
          <wp:inline distT="0" distB="0" distL="0" distR="0" wp14:anchorId="57AF590E" wp14:editId="7CF841C7">
            <wp:extent cx="167005" cy="167005"/>
            <wp:effectExtent l="0" t="0" r="10795" b="10795"/>
            <wp:docPr id="11" name="图片 11" descr="http://ng.cengage.com/static/nbapps/glossary/images/footstar.png">
              <a:hlinkClick xmlns:a="http://schemas.openxmlformats.org/drawingml/2006/main" r:id="rId9"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ng.cengage.com/static/nbapps/glossary/images/footstar.png">
                      <a:hlinkClick r:id="rId9" tooltip="&quot;Footnot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p>
    <w:p w14:paraId="6A56489D" w14:textId="77777777" w:rsidR="003B286F" w:rsidRPr="0038562A" w:rsidRDefault="003B286F" w:rsidP="003B286F">
      <w:pPr>
        <w:widowControl/>
        <w:shd w:val="clear" w:color="auto" w:fill="FFFFFF"/>
        <w:spacing w:after="225" w:line="486" w:lineRule="atLeast"/>
        <w:ind w:left="975" w:right="1500"/>
        <w:jc w:val="left"/>
        <w:rPr>
          <w:rFonts w:ascii="Times New Roman" w:hAnsi="Times New Roman" w:cs="Times New Roman"/>
          <w:color w:val="666666"/>
          <w:kern w:val="0"/>
          <w:sz w:val="20"/>
          <w:szCs w:val="20"/>
        </w:rPr>
      </w:pPr>
      <w:r w:rsidRPr="0038562A">
        <w:rPr>
          <w:rFonts w:ascii="Times New Roman" w:hAnsi="Times New Roman" w:cs="Times New Roman"/>
          <w:color w:val="666666"/>
          <w:kern w:val="0"/>
          <w:sz w:val="20"/>
          <w:szCs w:val="20"/>
        </w:rPr>
        <w:t>Here is a line-by-line explanation of the statement shown in </w:t>
      </w:r>
      <w:hyperlink r:id="rId25" w:history="1">
        <w:r w:rsidRPr="0038562A">
          <w:rPr>
            <w:rFonts w:ascii="Times New Roman" w:hAnsi="Times New Roman" w:cs="Times New Roman"/>
            <w:color w:val="008CD2"/>
            <w:kern w:val="0"/>
            <w:sz w:val="20"/>
            <w:szCs w:val="20"/>
            <w:u w:val="single"/>
          </w:rPr>
          <w:t>Table 3.3</w:t>
        </w:r>
      </w:hyperlink>
      <w:r w:rsidRPr="0038562A">
        <w:rPr>
          <w:rFonts w:ascii="Times New Roman" w:hAnsi="Times New Roman" w:cs="Times New Roman"/>
          <w:color w:val="666666"/>
          <w:kern w:val="0"/>
          <w:sz w:val="20"/>
          <w:szCs w:val="20"/>
        </w:rPr>
        <w:t>:</w:t>
      </w:r>
    </w:p>
    <w:p w14:paraId="0B2CA68D" w14:textId="77777777" w:rsidR="003B286F" w:rsidRPr="0038562A" w:rsidRDefault="003B286F" w:rsidP="003B286F">
      <w:pPr>
        <w:widowControl/>
        <w:numPr>
          <w:ilvl w:val="0"/>
          <w:numId w:val="4"/>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i/>
          <w:iCs/>
          <w:color w:val="666666"/>
          <w:kern w:val="0"/>
          <w:sz w:val="20"/>
          <w:szCs w:val="20"/>
        </w:rPr>
        <w:t>Operating activities.</w:t>
      </w:r>
      <w:r w:rsidRPr="0038562A">
        <w:rPr>
          <w:rFonts w:ascii="Times New Roman" w:hAnsi="Times New Roman" w:cs="Times New Roman"/>
          <w:color w:val="666666"/>
          <w:kern w:val="0"/>
          <w:sz w:val="20"/>
          <w:szCs w:val="20"/>
        </w:rPr>
        <w:t> This section deals with items that occur as part of normal ongoing operations.</w:t>
      </w:r>
    </w:p>
    <w:p w14:paraId="4AFE17D5" w14:textId="77777777" w:rsidR="003B286F" w:rsidRPr="0038562A" w:rsidRDefault="003B286F" w:rsidP="003B286F">
      <w:pPr>
        <w:widowControl/>
        <w:numPr>
          <w:ilvl w:val="0"/>
          <w:numId w:val="4"/>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i/>
          <w:iCs/>
          <w:color w:val="666666"/>
          <w:kern w:val="0"/>
          <w:sz w:val="20"/>
          <w:szCs w:val="20"/>
        </w:rPr>
        <w:t>Net income.</w:t>
      </w:r>
      <w:r w:rsidRPr="0038562A">
        <w:rPr>
          <w:rFonts w:ascii="Times New Roman" w:hAnsi="Times New Roman" w:cs="Times New Roman"/>
          <w:color w:val="666666"/>
          <w:kern w:val="0"/>
          <w:sz w:val="20"/>
          <w:szCs w:val="20"/>
        </w:rPr>
        <w:t> The first operating activity is net income, which is the first source of cash. If all sales were for cash, if all costs required immediate cash payments, and if the firm were in a static situation, net income would equal</w:t>
      </w:r>
      <w:bookmarkStart w:id="5" w:name="PageEnd_71"/>
      <w:bookmarkEnd w:id="5"/>
      <w:r w:rsidRPr="0038562A">
        <w:rPr>
          <w:rFonts w:ascii="Times New Roman" w:hAnsi="Times New Roman" w:cs="Times New Roman"/>
          <w:color w:val="666666"/>
          <w:kern w:val="0"/>
          <w:sz w:val="20"/>
          <w:szCs w:val="20"/>
        </w:rPr>
        <w:t> cash from operations. However, these conditions don’t hold, so net income is not equal to cash from operations. Adjustments shown in the remainder of the statement must be made.</w:t>
      </w:r>
    </w:p>
    <w:p w14:paraId="10E53174" w14:textId="77777777" w:rsidR="003B286F" w:rsidRPr="0038562A" w:rsidRDefault="003B286F" w:rsidP="003B286F">
      <w:pPr>
        <w:widowControl/>
        <w:numPr>
          <w:ilvl w:val="0"/>
          <w:numId w:val="4"/>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i/>
          <w:iCs/>
          <w:color w:val="666666"/>
          <w:kern w:val="0"/>
          <w:sz w:val="20"/>
          <w:szCs w:val="20"/>
        </w:rPr>
        <w:t>Depreciation and amortization.</w:t>
      </w:r>
      <w:r w:rsidRPr="0038562A">
        <w:rPr>
          <w:rFonts w:ascii="Times New Roman" w:hAnsi="Times New Roman" w:cs="Times New Roman"/>
          <w:color w:val="666666"/>
          <w:kern w:val="0"/>
          <w:sz w:val="20"/>
          <w:szCs w:val="20"/>
        </w:rPr>
        <w:t xml:space="preserve"> The first adjustment relates to depreciation and amortization. </w:t>
      </w: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accountants subtracted depreciation (it has no amortization expense), which is a noncash charge, when they calculated net income. Therefore, depreciation must be added back to net income when cash flow is determined.</w:t>
      </w:r>
    </w:p>
    <w:p w14:paraId="43A6F845" w14:textId="77777777" w:rsidR="003B286F" w:rsidRPr="0038562A" w:rsidRDefault="003B286F" w:rsidP="003B286F">
      <w:pPr>
        <w:widowControl/>
        <w:numPr>
          <w:ilvl w:val="0"/>
          <w:numId w:val="4"/>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i/>
          <w:iCs/>
          <w:color w:val="666666"/>
          <w:kern w:val="0"/>
          <w:sz w:val="20"/>
          <w:szCs w:val="20"/>
        </w:rPr>
        <w:t>Increase in inventories.</w:t>
      </w:r>
      <w:r w:rsidRPr="0038562A">
        <w:rPr>
          <w:rFonts w:ascii="Times New Roman" w:hAnsi="Times New Roman" w:cs="Times New Roman"/>
          <w:color w:val="666666"/>
          <w:kern w:val="0"/>
          <w:sz w:val="20"/>
          <w:szCs w:val="20"/>
        </w:rPr>
        <w:t> To make or buy inventory items, the firm must use cash. It may receive some of this cash as loans from its suppliers and workers (payables and accruals); but ultimately, any increase in inventories requires cash. Allied increased its inventories by $200 million in 2016. That amount is shown in parentheses on line d because it is negative (i.e., a use of cash). If Allied had reduced its inventories, it would have generated positive cash.</w:t>
      </w:r>
    </w:p>
    <w:p w14:paraId="778F53B1" w14:textId="77777777" w:rsidR="003B286F" w:rsidRPr="0038562A" w:rsidRDefault="003B286F" w:rsidP="003B286F">
      <w:pPr>
        <w:widowControl/>
        <w:numPr>
          <w:ilvl w:val="0"/>
          <w:numId w:val="4"/>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i/>
          <w:iCs/>
          <w:color w:val="666666"/>
          <w:kern w:val="0"/>
          <w:sz w:val="20"/>
          <w:szCs w:val="20"/>
        </w:rPr>
        <w:t>Increase in accounts receivable.</w:t>
      </w:r>
      <w:r w:rsidRPr="0038562A">
        <w:rPr>
          <w:rFonts w:ascii="Times New Roman" w:hAnsi="Times New Roman" w:cs="Times New Roman"/>
          <w:color w:val="666666"/>
          <w:kern w:val="0"/>
          <w:sz w:val="20"/>
          <w:szCs w:val="20"/>
        </w:rPr>
        <w:t xml:space="preserve"> If Allied chooses to sell on credit when it makes a sale, it will not immediately get the cash that it would have received had it not extended credit. To stay in business, it must replace the inventory that it sold on credit; but it won’t yet have received cash from the credit sale. So if the firm’s accounts receivable increase, this will amount to a use of cash. </w:t>
      </w: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receivables rose by $60 million in 2016, and that use of cash is shown as a negative number on line e. If Allied had reduced its receivables, this would be shown as a positive cash flow.</w:t>
      </w:r>
      <w:bookmarkStart w:id="6" w:name="PageEnd_72"/>
      <w:bookmarkEnd w:id="6"/>
      <w:r w:rsidRPr="0038562A">
        <w:rPr>
          <w:rFonts w:ascii="Times New Roman" w:hAnsi="Times New Roman" w:cs="Times New Roman"/>
          <w:color w:val="666666"/>
          <w:kern w:val="0"/>
          <w:sz w:val="20"/>
          <w:szCs w:val="20"/>
        </w:rPr>
        <w:t> (Once cash is received for the sale, the accompanying accounts receivable will be eliminated.)</w:t>
      </w:r>
    </w:p>
    <w:p w14:paraId="508AAB54" w14:textId="77777777" w:rsidR="003B286F" w:rsidRPr="0038562A" w:rsidRDefault="003B286F" w:rsidP="003B286F">
      <w:pPr>
        <w:widowControl/>
        <w:numPr>
          <w:ilvl w:val="0"/>
          <w:numId w:val="4"/>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i/>
          <w:iCs/>
          <w:color w:val="666666"/>
          <w:kern w:val="0"/>
          <w:sz w:val="20"/>
          <w:szCs w:val="20"/>
        </w:rPr>
        <w:t>Increase in accounts payable.</w:t>
      </w:r>
      <w:r w:rsidRPr="0038562A">
        <w:rPr>
          <w:rFonts w:ascii="Times New Roman" w:hAnsi="Times New Roman" w:cs="Times New Roman"/>
          <w:color w:val="666666"/>
          <w:kern w:val="0"/>
          <w:sz w:val="20"/>
          <w:szCs w:val="20"/>
        </w:rPr>
        <w:t> Accounts payable represent a loan from suppliers. Allied bought goods on credit, and its payables increased by $30 million this year. That is treated as a $30 million increase in cash on line f. If Allied had reduced its payables, that would have required, or used, cash. Note that as Allied grows, it will purchase more inventories. That will give rise to additional payables, which will reduce the amount of new outside funds required to finance inventory growth.</w:t>
      </w:r>
    </w:p>
    <w:p w14:paraId="72DBA36F" w14:textId="77777777" w:rsidR="003B286F" w:rsidRPr="0038562A" w:rsidRDefault="003B286F" w:rsidP="003B286F">
      <w:pPr>
        <w:widowControl/>
        <w:numPr>
          <w:ilvl w:val="0"/>
          <w:numId w:val="4"/>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i/>
          <w:iCs/>
          <w:color w:val="666666"/>
          <w:kern w:val="0"/>
          <w:sz w:val="20"/>
          <w:szCs w:val="20"/>
        </w:rPr>
        <w:t>Increase in accrued wages and taxes.</w:t>
      </w:r>
      <w:r w:rsidRPr="0038562A">
        <w:rPr>
          <w:rFonts w:ascii="Times New Roman" w:hAnsi="Times New Roman" w:cs="Times New Roman"/>
          <w:color w:val="666666"/>
          <w:kern w:val="0"/>
          <w:sz w:val="20"/>
          <w:szCs w:val="20"/>
        </w:rPr>
        <w:t xml:space="preserve"> The same logic applies to accruals as to accounts payable. </w:t>
      </w: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accruals increased by $10 million this year, which means that in 2016, it borrowed an additional $10 million from its workers and taxing authorities. So this represents a $10 million cash inflow.</w:t>
      </w:r>
    </w:p>
    <w:p w14:paraId="6F19C512" w14:textId="77777777" w:rsidR="003B286F" w:rsidRPr="0038562A" w:rsidRDefault="003B286F" w:rsidP="003B286F">
      <w:pPr>
        <w:widowControl/>
        <w:numPr>
          <w:ilvl w:val="0"/>
          <w:numId w:val="4"/>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i/>
          <w:iCs/>
          <w:color w:val="666666"/>
          <w:kern w:val="0"/>
          <w:sz w:val="20"/>
          <w:szCs w:val="20"/>
        </w:rPr>
        <w:t>Net cash provided by operating activities.</w:t>
      </w:r>
      <w:r w:rsidRPr="0038562A">
        <w:rPr>
          <w:rFonts w:ascii="Times New Roman" w:hAnsi="Times New Roman" w:cs="Times New Roman"/>
          <w:color w:val="666666"/>
          <w:kern w:val="0"/>
          <w:sz w:val="20"/>
          <w:szCs w:val="20"/>
        </w:rPr>
        <w:t> All of the previous items are part of normal operations—they arise as a result of doing business. When we sum them, we obtain the net cash flow from operations. Allied had positive flows from net income, depreciation, and increases in payables and accruals; but it used cash to increase inventories and to carry receivables. The net result was that operations led to a $2.5 million net cash outflow.</w:t>
      </w:r>
    </w:p>
    <w:p w14:paraId="4AAA252C" w14:textId="77777777" w:rsidR="003B286F" w:rsidRPr="0038562A" w:rsidRDefault="003B286F" w:rsidP="003B286F">
      <w:pPr>
        <w:widowControl/>
        <w:numPr>
          <w:ilvl w:val="0"/>
          <w:numId w:val="4"/>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i/>
          <w:iCs/>
          <w:color w:val="666666"/>
          <w:kern w:val="0"/>
          <w:sz w:val="20"/>
          <w:szCs w:val="20"/>
        </w:rPr>
        <w:t>Long-term investing activities.</w:t>
      </w:r>
      <w:r w:rsidRPr="0038562A">
        <w:rPr>
          <w:rFonts w:ascii="Times New Roman" w:hAnsi="Times New Roman" w:cs="Times New Roman"/>
          <w:color w:val="666666"/>
          <w:kern w:val="0"/>
          <w:sz w:val="20"/>
          <w:szCs w:val="20"/>
        </w:rPr>
        <w:t> All activities involving long-term assets are covered in this section. Allied had only one long-term investment activity—the acquisition of some fixed assets, as shown on line j. If Allied had sold some fixed assets, its accountants would have reported it in this section as a positive amount (i.e., as a cash inflow).</w:t>
      </w:r>
    </w:p>
    <w:p w14:paraId="7C60D688" w14:textId="77777777" w:rsidR="003B286F" w:rsidRPr="0038562A" w:rsidRDefault="003B286F" w:rsidP="003B286F">
      <w:pPr>
        <w:widowControl/>
        <w:numPr>
          <w:ilvl w:val="0"/>
          <w:numId w:val="4"/>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i/>
          <w:iCs/>
          <w:color w:val="666666"/>
          <w:kern w:val="0"/>
          <w:sz w:val="20"/>
          <w:szCs w:val="20"/>
        </w:rPr>
        <w:t>Additions to property, plant, and equipment.</w:t>
      </w:r>
      <w:r w:rsidRPr="0038562A">
        <w:rPr>
          <w:rFonts w:ascii="Times New Roman" w:hAnsi="Times New Roman" w:cs="Times New Roman"/>
          <w:color w:val="666666"/>
          <w:kern w:val="0"/>
          <w:sz w:val="20"/>
          <w:szCs w:val="20"/>
        </w:rPr>
        <w:t> Allied spent $230 million on fixed assets during the current year. This is an outflow; therefore, it is shown in parentheses. If Allied had sold some of its fixed assets, this would have been a cash inflow.</w:t>
      </w:r>
      <w:r w:rsidRPr="0038562A">
        <w:rPr>
          <w:rFonts w:ascii="Times New Roman" w:hAnsi="Times New Roman" w:cs="Times New Roman"/>
          <w:noProof/>
          <w:color w:val="008CD2"/>
          <w:kern w:val="0"/>
          <w:sz w:val="20"/>
          <w:szCs w:val="20"/>
        </w:rPr>
        <w:drawing>
          <wp:inline distT="0" distB="0" distL="0" distR="0" wp14:anchorId="5B006B5F" wp14:editId="3A2413EC">
            <wp:extent cx="167005" cy="167005"/>
            <wp:effectExtent l="0" t="0" r="10795" b="10795"/>
            <wp:docPr id="13" name="图片 13" descr="http://ng.cengage.com/static/nbapps/glossary/images/footstar.png">
              <a:hlinkClick xmlns:a="http://schemas.openxmlformats.org/drawingml/2006/main" r:id="rId9"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ng.cengage.com/static/nbapps/glossary/images/footstar.png">
                      <a:hlinkClick r:id="rId9" tooltip="&quot;Footnot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p>
    <w:p w14:paraId="2A131F89" w14:textId="77777777" w:rsidR="003B286F" w:rsidRPr="0038562A" w:rsidRDefault="003B286F" w:rsidP="003B286F">
      <w:pPr>
        <w:widowControl/>
        <w:numPr>
          <w:ilvl w:val="0"/>
          <w:numId w:val="4"/>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i/>
          <w:iCs/>
          <w:color w:val="666666"/>
          <w:kern w:val="0"/>
          <w:sz w:val="20"/>
          <w:szCs w:val="20"/>
        </w:rPr>
        <w:t>Net cash used in investing activities.</w:t>
      </w:r>
      <w:r w:rsidRPr="0038562A">
        <w:rPr>
          <w:rFonts w:ascii="Times New Roman" w:hAnsi="Times New Roman" w:cs="Times New Roman"/>
          <w:color w:val="666666"/>
          <w:kern w:val="0"/>
          <w:sz w:val="20"/>
          <w:szCs w:val="20"/>
        </w:rPr>
        <w:t> Because Allied had only one investment activity, the total on this line is the same as that on the previous line.</w:t>
      </w:r>
    </w:p>
    <w:p w14:paraId="3AAD95A0" w14:textId="77777777" w:rsidR="003B286F" w:rsidRPr="0038562A" w:rsidRDefault="003B286F" w:rsidP="003B286F">
      <w:pPr>
        <w:widowControl/>
        <w:numPr>
          <w:ilvl w:val="0"/>
          <w:numId w:val="4"/>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i/>
          <w:iCs/>
          <w:color w:val="666666"/>
          <w:kern w:val="0"/>
          <w:sz w:val="20"/>
          <w:szCs w:val="20"/>
        </w:rPr>
        <w:t>Financing activities.</w:t>
      </w:r>
      <w:r w:rsidRPr="0038562A">
        <w:rPr>
          <w:rFonts w:ascii="Times New Roman" w:hAnsi="Times New Roman" w:cs="Times New Roman"/>
          <w:color w:val="666666"/>
          <w:kern w:val="0"/>
          <w:sz w:val="20"/>
          <w:szCs w:val="20"/>
        </w:rPr>
        <w:t> </w:t>
      </w: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financing activities are shown in this section.</w:t>
      </w:r>
    </w:p>
    <w:p w14:paraId="3051E036" w14:textId="77777777" w:rsidR="003B286F" w:rsidRPr="0038562A" w:rsidRDefault="003B286F" w:rsidP="003B286F">
      <w:pPr>
        <w:widowControl/>
        <w:numPr>
          <w:ilvl w:val="0"/>
          <w:numId w:val="4"/>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i/>
          <w:iCs/>
          <w:color w:val="666666"/>
          <w:kern w:val="0"/>
          <w:sz w:val="20"/>
          <w:szCs w:val="20"/>
        </w:rPr>
        <w:t>Increase in notes payable.</w:t>
      </w:r>
      <w:r w:rsidRPr="0038562A">
        <w:rPr>
          <w:rFonts w:ascii="Times New Roman" w:hAnsi="Times New Roman" w:cs="Times New Roman"/>
          <w:color w:val="666666"/>
          <w:kern w:val="0"/>
          <w:sz w:val="20"/>
          <w:szCs w:val="20"/>
        </w:rPr>
        <w:t> Allied borrowed an additional $50 million from its bank this year, which was a cash inflow. When Allied repays the loan, this will be an outflow.</w:t>
      </w:r>
    </w:p>
    <w:p w14:paraId="50133D3A" w14:textId="77777777" w:rsidR="003B286F" w:rsidRPr="0038562A" w:rsidRDefault="003B286F" w:rsidP="003B286F">
      <w:pPr>
        <w:widowControl/>
        <w:numPr>
          <w:ilvl w:val="0"/>
          <w:numId w:val="4"/>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i/>
          <w:iCs/>
          <w:color w:val="666666"/>
          <w:kern w:val="0"/>
          <w:sz w:val="20"/>
          <w:szCs w:val="20"/>
        </w:rPr>
        <w:t>Increase in bonds (long-term debt).</w:t>
      </w:r>
      <w:r w:rsidRPr="0038562A">
        <w:rPr>
          <w:rFonts w:ascii="Times New Roman" w:hAnsi="Times New Roman" w:cs="Times New Roman"/>
          <w:color w:val="666666"/>
          <w:kern w:val="0"/>
          <w:sz w:val="20"/>
          <w:szCs w:val="20"/>
        </w:rPr>
        <w:t> Allied borrowed an additional $170 million from long-term investors this year, issuing bonds in exchange for cash. This is shown as an inflow. When the bonds are repaid by the firm some years hence, this will be an outflow.</w:t>
      </w:r>
    </w:p>
    <w:p w14:paraId="0D20AA19" w14:textId="77777777" w:rsidR="003B286F" w:rsidRPr="0038562A" w:rsidRDefault="003B286F" w:rsidP="003B286F">
      <w:pPr>
        <w:widowControl/>
        <w:numPr>
          <w:ilvl w:val="0"/>
          <w:numId w:val="4"/>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i/>
          <w:iCs/>
          <w:color w:val="666666"/>
          <w:kern w:val="0"/>
          <w:sz w:val="20"/>
          <w:szCs w:val="20"/>
        </w:rPr>
        <w:t>Payment of dividends to stockholders.</w:t>
      </w:r>
      <w:r w:rsidRPr="0038562A">
        <w:rPr>
          <w:rFonts w:ascii="Times New Roman" w:hAnsi="Times New Roman" w:cs="Times New Roman"/>
          <w:color w:val="666666"/>
          <w:kern w:val="0"/>
          <w:sz w:val="20"/>
          <w:szCs w:val="20"/>
        </w:rPr>
        <w:t> Dividends are paid in cash, and the $57.5 million that Allied paid to stockholders is shown as a negative amount.</w:t>
      </w:r>
    </w:p>
    <w:p w14:paraId="392A3442" w14:textId="77777777" w:rsidR="003B286F" w:rsidRPr="0038562A" w:rsidRDefault="003B286F" w:rsidP="003B286F">
      <w:pPr>
        <w:widowControl/>
        <w:numPr>
          <w:ilvl w:val="0"/>
          <w:numId w:val="4"/>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i/>
          <w:iCs/>
          <w:color w:val="666666"/>
          <w:kern w:val="0"/>
          <w:sz w:val="20"/>
          <w:szCs w:val="20"/>
        </w:rPr>
        <w:t>Net cash provided by financing activities.</w:t>
      </w:r>
      <w:r w:rsidRPr="0038562A">
        <w:rPr>
          <w:rFonts w:ascii="Times New Roman" w:hAnsi="Times New Roman" w:cs="Times New Roman"/>
          <w:color w:val="666666"/>
          <w:kern w:val="0"/>
          <w:sz w:val="20"/>
          <w:szCs w:val="20"/>
        </w:rPr>
        <w:t> The sum of the three financing entries, which is a positive $162.5 million, is shown here. These funds were used to help pay for the $230 million of new plant and equipment and to help cover the deficit resulting from operations.</w:t>
      </w:r>
    </w:p>
    <w:p w14:paraId="2323A424" w14:textId="77777777" w:rsidR="003B286F" w:rsidRPr="0038562A" w:rsidRDefault="003B286F" w:rsidP="003B286F">
      <w:pPr>
        <w:widowControl/>
        <w:numPr>
          <w:ilvl w:val="0"/>
          <w:numId w:val="4"/>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i/>
          <w:iCs/>
          <w:color w:val="666666"/>
          <w:kern w:val="0"/>
          <w:sz w:val="20"/>
          <w:szCs w:val="20"/>
        </w:rPr>
        <w:t>Summary.</w:t>
      </w:r>
      <w:r w:rsidRPr="0038562A">
        <w:rPr>
          <w:rFonts w:ascii="Times New Roman" w:hAnsi="Times New Roman" w:cs="Times New Roman"/>
          <w:color w:val="666666"/>
          <w:kern w:val="0"/>
          <w:sz w:val="20"/>
          <w:szCs w:val="20"/>
        </w:rPr>
        <w:t> This section summarizes the change in cash and cash equivalents over the year.</w:t>
      </w:r>
      <w:bookmarkStart w:id="7" w:name="PageEnd_73"/>
      <w:bookmarkEnd w:id="7"/>
    </w:p>
    <w:p w14:paraId="295CBC97" w14:textId="77777777" w:rsidR="003B286F" w:rsidRPr="0038562A" w:rsidRDefault="003B286F" w:rsidP="003B286F">
      <w:pPr>
        <w:widowControl/>
        <w:numPr>
          <w:ilvl w:val="0"/>
          <w:numId w:val="4"/>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i/>
          <w:iCs/>
          <w:color w:val="666666"/>
          <w:kern w:val="0"/>
          <w:sz w:val="20"/>
          <w:szCs w:val="20"/>
        </w:rPr>
        <w:t>Net decrease in cash.</w:t>
      </w:r>
      <w:r w:rsidRPr="0038562A">
        <w:rPr>
          <w:rFonts w:ascii="Times New Roman" w:hAnsi="Times New Roman" w:cs="Times New Roman"/>
          <w:color w:val="666666"/>
          <w:kern w:val="0"/>
          <w:sz w:val="20"/>
          <w:szCs w:val="20"/>
        </w:rPr>
        <w:t> The net sum of the operating activities, investing activities, and financing activities is shown here. These activities resulted in a $70 million net decrease in cash during 2016, mainly due to expenditures on new fixed assets.</w:t>
      </w:r>
    </w:p>
    <w:p w14:paraId="65BBB994" w14:textId="77777777" w:rsidR="003B286F" w:rsidRPr="0038562A" w:rsidRDefault="003B286F" w:rsidP="003B286F">
      <w:pPr>
        <w:widowControl/>
        <w:numPr>
          <w:ilvl w:val="0"/>
          <w:numId w:val="4"/>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i/>
          <w:iCs/>
          <w:color w:val="666666"/>
          <w:kern w:val="0"/>
          <w:sz w:val="20"/>
          <w:szCs w:val="20"/>
        </w:rPr>
        <w:t>Cash and equivalents at the beginning of the year.</w:t>
      </w:r>
      <w:r w:rsidRPr="0038562A">
        <w:rPr>
          <w:rFonts w:ascii="Times New Roman" w:hAnsi="Times New Roman" w:cs="Times New Roman"/>
          <w:color w:val="666666"/>
          <w:kern w:val="0"/>
          <w:sz w:val="20"/>
          <w:szCs w:val="20"/>
        </w:rPr>
        <w:t> Allied began the year with $80 million of cash, which is shown here.</w:t>
      </w:r>
    </w:p>
    <w:p w14:paraId="6DCB62F7" w14:textId="77777777" w:rsidR="003B286F" w:rsidRPr="0038562A" w:rsidRDefault="003B286F" w:rsidP="003B286F">
      <w:pPr>
        <w:widowControl/>
        <w:numPr>
          <w:ilvl w:val="0"/>
          <w:numId w:val="4"/>
        </w:numPr>
        <w:shd w:val="clear" w:color="auto" w:fill="FFFFFF"/>
        <w:ind w:left="975" w:right="1500"/>
        <w:jc w:val="left"/>
        <w:rPr>
          <w:rFonts w:ascii="Times New Roman" w:hAnsi="Times New Roman" w:cs="Times New Roman"/>
          <w:color w:val="666666"/>
          <w:kern w:val="0"/>
          <w:sz w:val="20"/>
          <w:szCs w:val="20"/>
        </w:rPr>
      </w:pPr>
      <w:r w:rsidRPr="0038562A">
        <w:rPr>
          <w:rFonts w:ascii="Times New Roman" w:hAnsi="Times New Roman" w:cs="Times New Roman"/>
          <w:i/>
          <w:iCs/>
          <w:color w:val="666666"/>
          <w:kern w:val="0"/>
          <w:sz w:val="20"/>
          <w:szCs w:val="20"/>
        </w:rPr>
        <w:t>Cash and equivalents at the end of the year.</w:t>
      </w:r>
      <w:r w:rsidRPr="0038562A">
        <w:rPr>
          <w:rFonts w:ascii="Times New Roman" w:hAnsi="Times New Roman" w:cs="Times New Roman"/>
          <w:color w:val="666666"/>
          <w:kern w:val="0"/>
          <w:sz w:val="20"/>
          <w:szCs w:val="20"/>
        </w:rPr>
        <w:t xml:space="preserve"> Allied ended the year with $10 million of cash, the $80 million it started with minus the $70 million net decrease that occurred during the year. Clearly, </w:t>
      </w: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cash position is weaker than it was at the beginning of the year.</w:t>
      </w:r>
    </w:p>
    <w:p w14:paraId="2EA095C4" w14:textId="77777777" w:rsidR="003B286F" w:rsidRPr="0038562A" w:rsidRDefault="003B286F" w:rsidP="003B286F">
      <w:pPr>
        <w:widowControl/>
        <w:shd w:val="clear" w:color="auto" w:fill="FFFFFF"/>
        <w:spacing w:after="225" w:line="486" w:lineRule="atLeast"/>
        <w:ind w:left="975" w:right="1500"/>
        <w:jc w:val="left"/>
        <w:rPr>
          <w:rFonts w:ascii="Times New Roman" w:hAnsi="Times New Roman" w:cs="Times New Roman"/>
          <w:color w:val="666666"/>
          <w:kern w:val="0"/>
          <w:sz w:val="20"/>
          <w:szCs w:val="20"/>
        </w:rPr>
      </w:pP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statement of cash flows should be of concern to its managers and investors. The company was able to cover the small operating deficit and the large investment in fixed assets by borrowing and reducing its beginning balances of cash and equivalents. However, the firm can’t continue to do this indefinitely. In the long run, Section I needs to show positive operating cash flows. In addition, we would expect Section II to show expenditures on fixed assets that are about equal to (1) its depreciation charges (to replace worn out fixed assets), along with (2) some additional expenditures to provide for growth. Section III would normally show some net borrowing in addition to a “reasonable” amount of dividends.</w:t>
      </w:r>
      <w:r w:rsidRPr="0038562A">
        <w:rPr>
          <w:rFonts w:ascii="Times New Roman" w:hAnsi="Times New Roman" w:cs="Times New Roman"/>
          <w:noProof/>
          <w:color w:val="008CD2"/>
          <w:kern w:val="0"/>
          <w:sz w:val="20"/>
          <w:szCs w:val="20"/>
        </w:rPr>
        <w:drawing>
          <wp:inline distT="0" distB="0" distL="0" distR="0" wp14:anchorId="151D1A9B" wp14:editId="189265EE">
            <wp:extent cx="167005" cy="167005"/>
            <wp:effectExtent l="0" t="0" r="10795" b="10795"/>
            <wp:docPr id="14" name="图片 14" descr="http://ng.cengage.com/static/nbapps/glossary/images/footstar.png">
              <a:hlinkClick xmlns:a="http://schemas.openxmlformats.org/drawingml/2006/main" r:id="rId9"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ng.cengage.com/static/nbapps/glossary/images/footstar.png">
                      <a:hlinkClick r:id="rId9" tooltip="&quot;Footnot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r w:rsidRPr="0038562A">
        <w:rPr>
          <w:rFonts w:ascii="Times New Roman" w:hAnsi="Times New Roman" w:cs="Times New Roman"/>
          <w:color w:val="666666"/>
          <w:kern w:val="0"/>
          <w:sz w:val="20"/>
          <w:szCs w:val="20"/>
        </w:rPr>
        <w:t> Finally, Section IV should show a reasonably stable year-to-year cash balance. These conditions don’t hold for Allied, so some actions should be taken to correct the situation. We will consider corrective actions in </w:t>
      </w:r>
      <w:hyperlink r:id="rId26" w:history="1">
        <w:r w:rsidRPr="0038562A">
          <w:rPr>
            <w:rFonts w:ascii="Times New Roman" w:hAnsi="Times New Roman" w:cs="Times New Roman"/>
            <w:color w:val="008CD2"/>
            <w:kern w:val="0"/>
            <w:sz w:val="20"/>
            <w:szCs w:val="20"/>
            <w:u w:val="single"/>
          </w:rPr>
          <w:t>Chapter 4</w:t>
        </w:r>
      </w:hyperlink>
      <w:r w:rsidRPr="0038562A">
        <w:rPr>
          <w:rFonts w:ascii="Times New Roman" w:hAnsi="Times New Roman" w:cs="Times New Roman"/>
          <w:color w:val="666666"/>
          <w:kern w:val="0"/>
          <w:sz w:val="20"/>
          <w:szCs w:val="20"/>
        </w:rPr>
        <w:t>, when we analyze the firm’s financial statements.</w:t>
      </w:r>
    </w:p>
    <w:p w14:paraId="619E59BE" w14:textId="77777777" w:rsidR="003B286F" w:rsidRPr="0038562A" w:rsidRDefault="003B286F" w:rsidP="003B286F">
      <w:pPr>
        <w:pStyle w:val="1"/>
        <w:spacing w:before="0" w:beforeAutospacing="0" w:after="0" w:afterAutospacing="0"/>
        <w:ind w:left="975" w:right="1500"/>
        <w:rPr>
          <w:rFonts w:ascii="Times New Roman" w:eastAsia="Times New Roman" w:hAnsi="Times New Roman" w:cs="Times New Roman"/>
          <w:b w:val="0"/>
          <w:bCs w:val="0"/>
          <w:color w:val="007DB8"/>
          <w:sz w:val="20"/>
          <w:szCs w:val="20"/>
        </w:rPr>
      </w:pPr>
      <w:r w:rsidRPr="0038562A">
        <w:rPr>
          <w:rStyle w:val="sectionlabel"/>
          <w:rFonts w:ascii="Times New Roman" w:eastAsia="Times New Roman" w:hAnsi="Times New Roman" w:cs="Times New Roman"/>
          <w:color w:val="7A7A7A"/>
          <w:sz w:val="20"/>
          <w:szCs w:val="20"/>
        </w:rPr>
        <w:t>3-5</w:t>
      </w:r>
      <w:r w:rsidRPr="0038562A">
        <w:rPr>
          <w:rStyle w:val="headingtext"/>
          <w:rFonts w:ascii="Times New Roman" w:eastAsia="Times New Roman" w:hAnsi="Times New Roman" w:cs="Times New Roman"/>
          <w:b w:val="0"/>
          <w:bCs w:val="0"/>
          <w:color w:val="007DB8"/>
          <w:sz w:val="20"/>
          <w:szCs w:val="20"/>
        </w:rPr>
        <w:t>Statement of Stockholders’ Equity</w:t>
      </w:r>
    </w:p>
    <w:p w14:paraId="12E5AA30" w14:textId="77777777" w:rsidR="003B286F" w:rsidRPr="0038562A" w:rsidRDefault="003B286F" w:rsidP="003B286F">
      <w:pPr>
        <w:pStyle w:val="a3"/>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 xml:space="preserve">Changes in stockholders’ equity during the accounting period are reported in </w:t>
      </w:r>
      <w:proofErr w:type="spellStart"/>
      <w:r w:rsidRPr="0038562A">
        <w:rPr>
          <w:rFonts w:ascii="Times New Roman" w:hAnsi="Times New Roman"/>
          <w:color w:val="666666"/>
        </w:rPr>
        <w:t>the</w:t>
      </w:r>
      <w:hyperlink r:id="rId27" w:history="1">
        <w:r w:rsidRPr="0038562A">
          <w:rPr>
            <w:rStyle w:val="primaryterm"/>
            <w:rFonts w:ascii="Times New Roman" w:hAnsi="Times New Roman"/>
            <w:b/>
            <w:bCs/>
            <w:color w:val="0081BC"/>
          </w:rPr>
          <w:t>statement</w:t>
        </w:r>
        <w:proofErr w:type="spellEnd"/>
        <w:r w:rsidRPr="0038562A">
          <w:rPr>
            <w:rStyle w:val="primaryterm"/>
            <w:rFonts w:ascii="Times New Roman" w:hAnsi="Times New Roman"/>
            <w:b/>
            <w:bCs/>
            <w:color w:val="0081BC"/>
          </w:rPr>
          <w:t xml:space="preserve"> of stockholders’ equity</w:t>
        </w:r>
      </w:hyperlink>
      <w:r w:rsidRPr="0038562A">
        <w:rPr>
          <w:rFonts w:ascii="Times New Roman" w:hAnsi="Times New Roman"/>
          <w:color w:val="666666"/>
        </w:rPr>
        <w:t>.</w:t>
      </w:r>
      <w:r w:rsidRPr="0038562A">
        <w:rPr>
          <w:rStyle w:val="apple-converted-space"/>
          <w:rFonts w:ascii="Times New Roman" w:hAnsi="Times New Roman"/>
          <w:color w:val="666666"/>
        </w:rPr>
        <w:t> </w:t>
      </w:r>
      <w:hyperlink r:id="rId28" w:history="1">
        <w:r w:rsidRPr="0038562A">
          <w:rPr>
            <w:rStyle w:val="a7"/>
            <w:rFonts w:ascii="Times New Roman" w:hAnsi="Times New Roman"/>
            <w:color w:val="008CD2"/>
          </w:rPr>
          <w:t>Table 3.4</w:t>
        </w:r>
      </w:hyperlink>
      <w:r w:rsidRPr="0038562A">
        <w:rPr>
          <w:rStyle w:val="apple-converted-space"/>
          <w:rFonts w:ascii="Times New Roman" w:hAnsi="Times New Roman"/>
          <w:color w:val="666666"/>
        </w:rPr>
        <w:t> </w:t>
      </w:r>
      <w:r w:rsidRPr="0038562A">
        <w:rPr>
          <w:rFonts w:ascii="Times New Roman" w:hAnsi="Times New Roman"/>
          <w:color w:val="666666"/>
        </w:rPr>
        <w:t>shows that Allied earned $117.5 million during 2016, paid out $57.5 million in common dividends, and plowed $60 million back into the business. Thus, the balance sheet item “Retained earnings” increased from $750 million at year-end 2015 to $810 million at year-end 2016.</w:t>
      </w:r>
      <w:r w:rsidRPr="0038562A">
        <w:rPr>
          <w:rFonts w:ascii="Times New Roman" w:hAnsi="Times New Roman"/>
          <w:noProof/>
          <w:color w:val="008CD2"/>
        </w:rPr>
        <w:drawing>
          <wp:inline distT="0" distB="0" distL="0" distR="0" wp14:anchorId="435D2916" wp14:editId="67FE11B9">
            <wp:extent cx="165100" cy="165100"/>
            <wp:effectExtent l="0" t="0" r="12700" b="12700"/>
            <wp:docPr id="17" name="图片 17" descr="http://ng.cengage.com/static/nbapps/glossary/images/footstar.png">
              <a:hlinkClick xmlns:a="http://schemas.openxmlformats.org/drawingml/2006/main" r:id="rId9"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ng.cengage.com/static/nbapps/glossary/images/footstar.png">
                      <a:hlinkClick r:id="rId9" tooltip="&quot;Footnot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5100" cy="165100"/>
                    </a:xfrm>
                    <a:prstGeom prst="rect">
                      <a:avLst/>
                    </a:prstGeom>
                    <a:noFill/>
                    <a:ln>
                      <a:noFill/>
                    </a:ln>
                  </pic:spPr>
                </pic:pic>
              </a:graphicData>
            </a:graphic>
          </wp:inline>
        </w:drawing>
      </w:r>
    </w:p>
    <w:p w14:paraId="0FBEB6F3" w14:textId="77777777" w:rsidR="003B286F" w:rsidRPr="0038562A" w:rsidRDefault="003B286F" w:rsidP="003B286F">
      <w:pPr>
        <w:pStyle w:val="1"/>
        <w:shd w:val="clear" w:color="auto" w:fill="FFFFFF"/>
        <w:spacing w:before="0" w:beforeAutospacing="0" w:after="0" w:afterAutospacing="0"/>
        <w:ind w:left="975" w:right="1500"/>
        <w:rPr>
          <w:rFonts w:ascii="Times New Roman" w:eastAsia="Times New Roman" w:hAnsi="Times New Roman" w:cs="Times New Roman"/>
          <w:b w:val="0"/>
          <w:bCs w:val="0"/>
          <w:color w:val="007DB8"/>
          <w:sz w:val="20"/>
          <w:szCs w:val="20"/>
        </w:rPr>
      </w:pPr>
      <w:r w:rsidRPr="0038562A">
        <w:rPr>
          <w:rStyle w:val="sectionlabel"/>
          <w:rFonts w:ascii="Times New Roman" w:eastAsia="Times New Roman" w:hAnsi="Times New Roman" w:cs="Times New Roman"/>
          <w:color w:val="7A7A7A"/>
          <w:sz w:val="20"/>
          <w:szCs w:val="20"/>
        </w:rPr>
        <w:t>3-6</w:t>
      </w:r>
      <w:r w:rsidRPr="0038562A">
        <w:rPr>
          <w:rStyle w:val="headingtext"/>
          <w:rFonts w:ascii="Times New Roman" w:eastAsia="Times New Roman" w:hAnsi="Times New Roman" w:cs="Times New Roman"/>
          <w:b w:val="0"/>
          <w:bCs w:val="0"/>
          <w:color w:val="007DB8"/>
          <w:sz w:val="20"/>
          <w:szCs w:val="20"/>
        </w:rPr>
        <w:t>Uses and Limitations of Financial Statements</w:t>
      </w:r>
    </w:p>
    <w:p w14:paraId="227D5502"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As we mentioned in the opening vignette to this chapter, financial statements provide a great deal of useful information. You can inspect the statements and answer a number of important questions such as these: How large is the company? Is it growing? Is it making or losing money? Is it generating cash through its operations, or are operations actually losing cash?</w:t>
      </w:r>
    </w:p>
    <w:p w14:paraId="3D32E134"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 xml:space="preserve">At the same time, investors need to be cautious when they review financial statements. Although companies are required to follow GAAP, managers still have a lot of discretion in deciding how and when to report certain transactions. (For an example, see the box </w:t>
      </w:r>
      <w:proofErr w:type="spellStart"/>
      <w:r w:rsidRPr="0038562A">
        <w:rPr>
          <w:rFonts w:ascii="Times New Roman" w:hAnsi="Times New Roman"/>
          <w:color w:val="666666"/>
        </w:rPr>
        <w:t>in</w:t>
      </w:r>
      <w:hyperlink r:id="rId29" w:history="1">
        <w:r w:rsidRPr="0038562A">
          <w:rPr>
            <w:rStyle w:val="a7"/>
            <w:rFonts w:ascii="Times New Roman" w:hAnsi="Times New Roman"/>
            <w:color w:val="008CD2"/>
          </w:rPr>
          <w:t>Section</w:t>
        </w:r>
        <w:proofErr w:type="spellEnd"/>
        <w:r w:rsidRPr="0038562A">
          <w:rPr>
            <w:rStyle w:val="a7"/>
            <w:rFonts w:ascii="Times New Roman" w:hAnsi="Times New Roman"/>
            <w:color w:val="008CD2"/>
          </w:rPr>
          <w:t xml:space="preserve"> 3-4</w:t>
        </w:r>
      </w:hyperlink>
      <w:r w:rsidRPr="0038562A">
        <w:rPr>
          <w:rFonts w:ascii="Times New Roman" w:hAnsi="Times New Roman"/>
          <w:color w:val="666666"/>
        </w:rPr>
        <w:t>, “</w:t>
      </w:r>
      <w:hyperlink r:id="rId30" w:history="1">
        <w:r w:rsidRPr="0038562A">
          <w:rPr>
            <w:rStyle w:val="a7"/>
            <w:rFonts w:ascii="Times New Roman" w:hAnsi="Times New Roman"/>
            <w:color w:val="008CD2"/>
          </w:rPr>
          <w:t>Massaging the Cash Flow Statement</w:t>
        </w:r>
      </w:hyperlink>
      <w:r w:rsidRPr="0038562A">
        <w:rPr>
          <w:rFonts w:ascii="Times New Roman" w:hAnsi="Times New Roman"/>
          <w:color w:val="666666"/>
        </w:rPr>
        <w:t>,” on GM’s treatment of receivables.)</w:t>
      </w:r>
    </w:p>
    <w:p w14:paraId="63F65990"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Consequently, two firms in exactly the same situation may report financial statements that convey different impressions about their financial strength. Some variations may stem from legitimate differences of opinion about the correct way to record transactions. In other cases, managers may choose to report numbers in a manner that helps them present either higher or more stable earnings over time. As long as they follow GAAP, such actions are legal, but these differences make it difficult for investors to compare companies and gauge their true performances. In particular, watch out if senior managers receive bonuses or other compensation based on earnings in the short run—they may try to boost short-term reported income to boost their bonuses.</w:t>
      </w:r>
    </w:p>
    <w:p w14:paraId="7CD6C2B3"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Unfortunately, there have also been cases where managers disregarded GAAP and reported fraudulent statements. One blatant example of cheating involved WorldCom, which reported asset values that exceeded their true value by about $11 billion. This led to an understatement of costs and a corresponding overstatement of profits. Enron is another high-profile example. It overstated the value of certain assets, reported those artificial value increases as profits, and transferred the assets to subsidiary companies to hide the true facts. Enron’s and WorldCom’s investors eventually learned what was happening, and the companies were forced into bankruptcy. Many of their top executives went to jail; the accounting firm that audited their books was forced out of business; and investors lost billions of dollars.</w:t>
      </w:r>
    </w:p>
    <w:p w14:paraId="55F8419D"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After the Enron and WorldCom fiascos, Congress in 2002 passed the Sarbanes-Oxley Act (SOX), which required companies to improve their internal auditing standards and required the CEO and CFO to certify that the financial statements were properly prepared. The SOX bill also created a new watchdog organization to help make sure that the outside accounting firms were doing their jobs.</w:t>
      </w:r>
    </w:p>
    <w:p w14:paraId="2FFA1627"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More recently, a serious debate has arisen regarding the appropriate accounting for complicated investments held by financial institutions. In the recent financial crisis, many of these investments (particularly those related to subprime mortgages) turned out to be worth a lot less than their stated book value. Currently, regulators</w:t>
      </w:r>
      <w:bookmarkStart w:id="8" w:name="PageEnd_76"/>
      <w:bookmarkEnd w:id="8"/>
      <w:r w:rsidRPr="0038562A">
        <w:rPr>
          <w:rStyle w:val="apple-converted-space"/>
          <w:rFonts w:ascii="Times New Roman" w:hAnsi="Times New Roman"/>
          <w:color w:val="666666"/>
        </w:rPr>
        <w:t> </w:t>
      </w:r>
      <w:r w:rsidRPr="0038562A">
        <w:rPr>
          <w:rFonts w:ascii="Times New Roman" w:hAnsi="Times New Roman"/>
          <w:color w:val="666666"/>
        </w:rPr>
        <w:t>and other policy makers are struggling to come up with the best way to account for and regulate many of these “toxic assets.”</w:t>
      </w:r>
      <w:r w:rsidRPr="0038562A">
        <w:rPr>
          <w:rFonts w:ascii="Times New Roman" w:hAnsi="Times New Roman"/>
          <w:noProof/>
          <w:color w:val="008CD2"/>
        </w:rPr>
        <w:drawing>
          <wp:inline distT="0" distB="0" distL="0" distR="0" wp14:anchorId="18FAD328" wp14:editId="69835D0D">
            <wp:extent cx="167005" cy="167005"/>
            <wp:effectExtent l="0" t="0" r="10795" b="10795"/>
            <wp:docPr id="19" name="图片 19" descr="http://ng.cengage.com/static/nbapps/glossary/images/footstar.png">
              <a:hlinkClick xmlns:a="http://schemas.openxmlformats.org/drawingml/2006/main" r:id="rId9"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ng.cengage.com/static/nbapps/glossary/images/footstar.png">
                      <a:hlinkClick r:id="rId9" tooltip="&quot;Footnot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p>
    <w:p w14:paraId="2830A226"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Finally, keep in mind that even if investors receive accurate accounting data, it is cash flows, not accounting income, that matters most. Similarly, as we shall see in</w:t>
      </w:r>
      <w:r w:rsidRPr="0038562A">
        <w:rPr>
          <w:rStyle w:val="apple-converted-space"/>
          <w:rFonts w:ascii="Times New Roman" w:hAnsi="Times New Roman"/>
          <w:color w:val="666666"/>
        </w:rPr>
        <w:t> </w:t>
      </w:r>
      <w:hyperlink r:id="rId31" w:history="1">
        <w:r w:rsidRPr="0038562A">
          <w:rPr>
            <w:rStyle w:val="a7"/>
            <w:rFonts w:ascii="Times New Roman" w:hAnsi="Times New Roman"/>
            <w:color w:val="008CD2"/>
          </w:rPr>
          <w:t>Chapters 11</w:t>
        </w:r>
      </w:hyperlink>
      <w:r w:rsidRPr="0038562A">
        <w:rPr>
          <w:rStyle w:val="apple-converted-space"/>
          <w:rFonts w:ascii="Times New Roman" w:hAnsi="Times New Roman"/>
          <w:color w:val="666666"/>
        </w:rPr>
        <w:t> </w:t>
      </w:r>
      <w:r w:rsidRPr="0038562A">
        <w:rPr>
          <w:rFonts w:ascii="Times New Roman" w:hAnsi="Times New Roman"/>
          <w:color w:val="666666"/>
        </w:rPr>
        <w:t>and</w:t>
      </w:r>
      <w:r w:rsidRPr="0038562A">
        <w:rPr>
          <w:rStyle w:val="apple-converted-space"/>
          <w:rFonts w:ascii="Times New Roman" w:hAnsi="Times New Roman"/>
          <w:color w:val="666666"/>
        </w:rPr>
        <w:t> </w:t>
      </w:r>
      <w:hyperlink r:id="rId32" w:history="1">
        <w:r w:rsidRPr="0038562A">
          <w:rPr>
            <w:rStyle w:val="a7"/>
            <w:rFonts w:ascii="Times New Roman" w:hAnsi="Times New Roman"/>
            <w:color w:val="008CD2"/>
          </w:rPr>
          <w:t>12</w:t>
        </w:r>
      </w:hyperlink>
      <w:r w:rsidRPr="0038562A">
        <w:rPr>
          <w:rFonts w:ascii="Times New Roman" w:hAnsi="Times New Roman"/>
          <w:color w:val="666666"/>
        </w:rPr>
        <w:t>, when managers make capital budgeting decisions on which projects to accept, their focus should be on cash flow.</w:t>
      </w:r>
    </w:p>
    <w:p w14:paraId="6CC94652" w14:textId="77777777" w:rsidR="003B286F" w:rsidRPr="0038562A" w:rsidRDefault="003B286F" w:rsidP="003B286F">
      <w:pPr>
        <w:pStyle w:val="1"/>
        <w:shd w:val="clear" w:color="auto" w:fill="FFFFFF"/>
        <w:spacing w:before="0" w:beforeAutospacing="0" w:after="0" w:afterAutospacing="0"/>
        <w:ind w:left="975" w:right="1500"/>
        <w:rPr>
          <w:rFonts w:ascii="Times New Roman" w:eastAsia="Times New Roman" w:hAnsi="Times New Roman" w:cs="Times New Roman"/>
          <w:b w:val="0"/>
          <w:bCs w:val="0"/>
          <w:color w:val="007DB8"/>
          <w:sz w:val="20"/>
          <w:szCs w:val="20"/>
        </w:rPr>
      </w:pPr>
      <w:r w:rsidRPr="0038562A">
        <w:rPr>
          <w:rStyle w:val="sectionlabel"/>
          <w:rFonts w:ascii="Times New Roman" w:eastAsia="Times New Roman" w:hAnsi="Times New Roman" w:cs="Times New Roman"/>
          <w:color w:val="7A7A7A"/>
          <w:sz w:val="20"/>
          <w:szCs w:val="20"/>
        </w:rPr>
        <w:t>3-7</w:t>
      </w:r>
      <w:r w:rsidRPr="0038562A">
        <w:rPr>
          <w:rStyle w:val="headingtext"/>
          <w:rFonts w:ascii="Times New Roman" w:eastAsia="Times New Roman" w:hAnsi="Times New Roman" w:cs="Times New Roman"/>
          <w:b w:val="0"/>
          <w:bCs w:val="0"/>
          <w:color w:val="007DB8"/>
          <w:sz w:val="20"/>
          <w:szCs w:val="20"/>
        </w:rPr>
        <w:t>Free Cash Flow</w:t>
      </w:r>
    </w:p>
    <w:p w14:paraId="009BB2AD"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Thus far, we have focused on financial statements as they are prepared by accountants. However, accounting statements are designed primarily for use by creditors and tax collectors, not for managers and stock analysts. Therefore, corporate decision makers and security analysts often modify accounting data to meet their needs. The most important modification is the concept of</w:t>
      </w:r>
      <w:r w:rsidRPr="0038562A">
        <w:rPr>
          <w:rStyle w:val="apple-converted-space"/>
          <w:rFonts w:ascii="Times New Roman" w:hAnsi="Times New Roman"/>
          <w:color w:val="666666"/>
        </w:rPr>
        <w:t> </w:t>
      </w:r>
      <w:hyperlink r:id="rId33" w:history="1">
        <w:r w:rsidRPr="0038562A">
          <w:rPr>
            <w:rStyle w:val="primaryterm"/>
            <w:rFonts w:ascii="Times New Roman" w:hAnsi="Times New Roman"/>
            <w:b/>
            <w:bCs/>
            <w:color w:val="0081BC"/>
          </w:rPr>
          <w:t>free cash flow (FCF)</w:t>
        </w:r>
      </w:hyperlink>
      <w:r w:rsidRPr="0038562A">
        <w:rPr>
          <w:rFonts w:ascii="Times New Roman" w:hAnsi="Times New Roman"/>
          <w:color w:val="666666"/>
        </w:rPr>
        <w:t>, defined as “the amount of cash that could be withdrawn without harming a firm’s ability to operate and to produce future cash flows.” Here is the equation used to calculate free cash flow:</w:t>
      </w:r>
    </w:p>
    <w:p w14:paraId="70224620" w14:textId="77777777" w:rsidR="003B286F" w:rsidRPr="0038562A" w:rsidRDefault="003B286F" w:rsidP="003B286F">
      <w:pPr>
        <w:shd w:val="clear" w:color="auto" w:fill="FFFFFF"/>
        <w:spacing w:line="486" w:lineRule="atLeast"/>
        <w:jc w:val="center"/>
        <w:textAlignment w:val="top"/>
        <w:rPr>
          <w:rFonts w:ascii="Times New Roman" w:eastAsia="Times New Roman" w:hAnsi="Times New Roman" w:cs="Times New Roman"/>
          <w:b/>
          <w:bCs/>
          <w:color w:val="000000"/>
          <w:sz w:val="20"/>
          <w:szCs w:val="20"/>
        </w:rPr>
      </w:pPr>
      <w:r w:rsidRPr="0038562A">
        <w:rPr>
          <w:rFonts w:ascii="Times New Roman" w:eastAsia="Times New Roman" w:hAnsi="Times New Roman" w:cs="Times New Roman"/>
          <w:b/>
          <w:bCs/>
          <w:color w:val="000000"/>
          <w:sz w:val="20"/>
          <w:szCs w:val="20"/>
        </w:rPr>
        <w:t>3.3</w:t>
      </w:r>
    </w:p>
    <w:p w14:paraId="6DE92B11"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The first term represents the amount of cash that the firm generates from its current operations. EBIT (1 − T) is often referred to as</w:t>
      </w:r>
      <w:r w:rsidRPr="0038562A">
        <w:rPr>
          <w:rStyle w:val="apple-converted-space"/>
          <w:rFonts w:ascii="Times New Roman" w:hAnsi="Times New Roman"/>
          <w:color w:val="666666"/>
        </w:rPr>
        <w:t> </w:t>
      </w:r>
      <w:hyperlink r:id="rId34" w:history="1">
        <w:r w:rsidRPr="0038562A">
          <w:rPr>
            <w:rStyle w:val="primaryterm"/>
            <w:rFonts w:ascii="Times New Roman" w:hAnsi="Times New Roman"/>
            <w:b/>
            <w:bCs/>
            <w:color w:val="0081BC"/>
          </w:rPr>
          <w:t>NOPAT,</w:t>
        </w:r>
        <w:r w:rsidRPr="0038562A">
          <w:rPr>
            <w:rStyle w:val="apple-converted-space"/>
            <w:rFonts w:ascii="Times New Roman" w:hAnsi="Times New Roman"/>
            <w:b/>
            <w:bCs/>
            <w:color w:val="0081BC"/>
          </w:rPr>
          <w:t> </w:t>
        </w:r>
        <w:r w:rsidRPr="0038562A">
          <w:rPr>
            <w:rStyle w:val="a8"/>
            <w:rFonts w:ascii="Times New Roman" w:hAnsi="Times New Roman"/>
            <w:color w:val="0081BC"/>
          </w:rPr>
          <w:t>or</w:t>
        </w:r>
        <w:r w:rsidRPr="0038562A">
          <w:rPr>
            <w:rStyle w:val="apple-converted-space"/>
            <w:rFonts w:ascii="Times New Roman" w:hAnsi="Times New Roman"/>
            <w:b/>
            <w:bCs/>
            <w:color w:val="0081BC"/>
          </w:rPr>
          <w:t> </w:t>
        </w:r>
        <w:r w:rsidRPr="0038562A">
          <w:rPr>
            <w:rStyle w:val="primaryterm"/>
            <w:rFonts w:ascii="Times New Roman" w:hAnsi="Times New Roman"/>
            <w:b/>
            <w:bCs/>
            <w:color w:val="0081BC"/>
          </w:rPr>
          <w:t>net operating profit after taxes</w:t>
        </w:r>
      </w:hyperlink>
      <w:r w:rsidRPr="0038562A">
        <w:rPr>
          <w:rFonts w:ascii="Times New Roman" w:hAnsi="Times New Roman"/>
          <w:color w:val="666666"/>
        </w:rPr>
        <w:t>. Depreciation and amortization are added back because these are noncash expenses that reduce EBIT but do not reduce the amount of cash the company has available to pay its investors. The second bracketed term indicates the amount of cash that the company is investing in its fixed assets (capital expenditures) and operating working capital in order to sustain ongoing operations. A positive level of FCF indicates that the firm is generating more than enough cash to finance current investments in fixed assets and working capital. By contrast, negative free cash flow means that the company does not have sufficient internal funds to finance investments in fixed assets and working capital, and that it will have to raise new money in the capital markets in order to pay for these investments.</w:t>
      </w:r>
    </w:p>
    <w:p w14:paraId="252610B5" w14:textId="77777777" w:rsidR="003B286F" w:rsidRPr="0038562A" w:rsidRDefault="003B286F" w:rsidP="003B286F">
      <w:pPr>
        <w:widowControl/>
        <w:shd w:val="clear" w:color="auto" w:fill="FFFFFF"/>
        <w:spacing w:line="486" w:lineRule="atLeast"/>
        <w:ind w:left="975" w:right="1500"/>
        <w:jc w:val="left"/>
        <w:rPr>
          <w:rFonts w:ascii="Times New Roman" w:hAnsi="Times New Roman" w:cs="Times New Roman"/>
          <w:color w:val="666666"/>
          <w:kern w:val="0"/>
          <w:sz w:val="20"/>
          <w:szCs w:val="20"/>
        </w:rPr>
      </w:pPr>
      <w:r w:rsidRPr="0038562A">
        <w:rPr>
          <w:rFonts w:ascii="Times New Roman" w:hAnsi="Times New Roman" w:cs="Times New Roman"/>
          <w:color w:val="666666"/>
          <w:kern w:val="0"/>
          <w:sz w:val="20"/>
          <w:szCs w:val="20"/>
        </w:rPr>
        <w:t xml:space="preserve">Looking at </w:t>
      </w: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key financial statements, we can collect the pieces that we need to calculate its free cash flow. First, we can obtain </w:t>
      </w: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EBIT and depreciation and amortization expense from the income statement. Looking at </w:t>
      </w:r>
      <w:hyperlink r:id="rId35" w:history="1">
        <w:r w:rsidRPr="0038562A">
          <w:rPr>
            <w:rFonts w:ascii="Times New Roman" w:hAnsi="Times New Roman" w:cs="Times New Roman"/>
            <w:color w:val="008CD2"/>
            <w:kern w:val="0"/>
            <w:sz w:val="20"/>
            <w:szCs w:val="20"/>
            <w:u w:val="single"/>
          </w:rPr>
          <w:t>Table 3.2</w:t>
        </w:r>
      </w:hyperlink>
      <w:r w:rsidRPr="0038562A">
        <w:rPr>
          <w:rFonts w:ascii="Times New Roman" w:hAnsi="Times New Roman" w:cs="Times New Roman"/>
          <w:color w:val="666666"/>
          <w:kern w:val="0"/>
          <w:sz w:val="20"/>
          <w:szCs w:val="20"/>
        </w:rPr>
        <w:t xml:space="preserve">, we see that </w:t>
      </w: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2016 operating income (EBIT) was $283.8 million. Because </w:t>
      </w: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tax rate is 40%, it follows that its  million. We also see that </w:t>
      </w: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depreciation and amortization expense in 2016 was $100 million.</w:t>
      </w:r>
    </w:p>
    <w:p w14:paraId="405BA806" w14:textId="77777777" w:rsidR="003B286F" w:rsidRPr="0038562A" w:rsidRDefault="003B286F" w:rsidP="003B286F">
      <w:pPr>
        <w:widowControl/>
        <w:shd w:val="clear" w:color="auto" w:fill="FFFFFF"/>
        <w:spacing w:after="225" w:line="486" w:lineRule="atLeast"/>
        <w:ind w:left="975" w:right="1500"/>
        <w:jc w:val="left"/>
        <w:rPr>
          <w:rFonts w:ascii="Times New Roman" w:hAnsi="Times New Roman" w:cs="Times New Roman"/>
          <w:color w:val="666666"/>
          <w:kern w:val="0"/>
          <w:sz w:val="20"/>
          <w:szCs w:val="20"/>
        </w:rPr>
      </w:pP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capital expenditures (the cash used to purchase new fixed assets) can be found under the investment activities on the Statement of Cash Flows. Looking at </w:t>
      </w:r>
      <w:hyperlink r:id="rId36" w:history="1">
        <w:r w:rsidRPr="0038562A">
          <w:rPr>
            <w:rFonts w:ascii="Times New Roman" w:hAnsi="Times New Roman" w:cs="Times New Roman"/>
            <w:color w:val="008CD2"/>
            <w:kern w:val="0"/>
            <w:sz w:val="20"/>
            <w:szCs w:val="20"/>
            <w:u w:val="single"/>
          </w:rPr>
          <w:t>Table 3.3</w:t>
        </w:r>
      </w:hyperlink>
      <w:r w:rsidRPr="0038562A">
        <w:rPr>
          <w:rFonts w:ascii="Times New Roman" w:hAnsi="Times New Roman" w:cs="Times New Roman"/>
          <w:color w:val="666666"/>
          <w:kern w:val="0"/>
          <w:sz w:val="20"/>
          <w:szCs w:val="20"/>
        </w:rPr>
        <w:t xml:space="preserve">, we see that </w:t>
      </w: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capital expenditures in 2016 totaled $230 million.</w:t>
      </w:r>
      <w:r w:rsidRPr="0038562A">
        <w:rPr>
          <w:rFonts w:ascii="Times New Roman" w:hAnsi="Times New Roman" w:cs="Times New Roman"/>
          <w:noProof/>
          <w:color w:val="008CD2"/>
          <w:kern w:val="0"/>
          <w:sz w:val="20"/>
          <w:szCs w:val="20"/>
        </w:rPr>
        <w:drawing>
          <wp:inline distT="0" distB="0" distL="0" distR="0" wp14:anchorId="6F95AC6A" wp14:editId="5C043F8A">
            <wp:extent cx="167005" cy="167005"/>
            <wp:effectExtent l="0" t="0" r="10795" b="10795"/>
            <wp:docPr id="21" name="图片 21" descr="http://ng.cengage.com/static/nbapps/glossary/images/footstar.png">
              <a:hlinkClick xmlns:a="http://schemas.openxmlformats.org/drawingml/2006/main" r:id="rId20"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ng.cengage.com/static/nbapps/glossary/images/footstar.png">
                      <a:hlinkClick r:id="rId20" tooltip="&quot;Footnot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r w:rsidRPr="0038562A">
        <w:rPr>
          <w:rFonts w:ascii="Times New Roman" w:hAnsi="Times New Roman" w:cs="Times New Roman"/>
          <w:color w:val="666666"/>
          <w:kern w:val="0"/>
          <w:sz w:val="20"/>
          <w:szCs w:val="20"/>
        </w:rPr>
        <w:t xml:space="preserve"> Finally, we need to calculate the change in net operating working capital (ΔNOWC). Recall that NOWC is current assets minus non-interest-bearing current liabilities (where non-interest-bearing current liabilities are calculated as current liabilities minus notes payable). We showed earlier that </w:t>
      </w: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NOWC for 2016 was:</w:t>
      </w:r>
    </w:p>
    <w:p w14:paraId="1749D7D5" w14:textId="77777777" w:rsidR="003B286F" w:rsidRPr="0038562A" w:rsidRDefault="003B286F" w:rsidP="003B286F">
      <w:pPr>
        <w:widowControl/>
        <w:shd w:val="clear" w:color="auto" w:fill="FFFFFF"/>
        <w:spacing w:after="225" w:line="486" w:lineRule="atLeast"/>
        <w:ind w:left="975" w:right="1500"/>
        <w:jc w:val="left"/>
        <w:rPr>
          <w:rFonts w:ascii="Times New Roman" w:hAnsi="Times New Roman" w:cs="Times New Roman"/>
          <w:color w:val="666666"/>
          <w:kern w:val="0"/>
          <w:sz w:val="20"/>
          <w:szCs w:val="20"/>
        </w:rPr>
      </w:pPr>
      <w:r w:rsidRPr="0038562A">
        <w:rPr>
          <w:rFonts w:ascii="Times New Roman" w:hAnsi="Times New Roman" w:cs="Times New Roman"/>
          <w:color w:val="666666"/>
          <w:kern w:val="0"/>
          <w:sz w:val="20"/>
          <w:szCs w:val="20"/>
        </w:rPr>
        <w:t>Likewise, its NOWC for 2015 can be calculated as:</w:t>
      </w:r>
    </w:p>
    <w:p w14:paraId="06E9BE34" w14:textId="77777777" w:rsidR="003B286F" w:rsidRPr="0038562A" w:rsidRDefault="003B286F" w:rsidP="003B286F">
      <w:pPr>
        <w:widowControl/>
        <w:shd w:val="clear" w:color="auto" w:fill="FFFFFF"/>
        <w:spacing w:line="486" w:lineRule="atLeast"/>
        <w:ind w:left="975" w:right="1500"/>
        <w:jc w:val="left"/>
        <w:rPr>
          <w:rFonts w:ascii="Times New Roman" w:hAnsi="Times New Roman" w:cs="Times New Roman"/>
          <w:color w:val="666666"/>
          <w:kern w:val="0"/>
          <w:sz w:val="20"/>
          <w:szCs w:val="20"/>
        </w:rPr>
      </w:pPr>
      <w:r w:rsidRPr="0038562A">
        <w:rPr>
          <w:rFonts w:ascii="Times New Roman" w:hAnsi="Times New Roman" w:cs="Times New Roman"/>
          <w:color w:val="666666"/>
          <w:kern w:val="0"/>
          <w:sz w:val="20"/>
          <w:szCs w:val="20"/>
        </w:rPr>
        <w:t xml:space="preserve">Thus, </w:t>
      </w: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change in net operating working capital . Putting everything together, we can now calculate </w:t>
      </w: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2016 free cash flow:</w:t>
      </w:r>
    </w:p>
    <w:p w14:paraId="503290BB" w14:textId="77777777" w:rsidR="003B286F" w:rsidRPr="0038562A" w:rsidRDefault="003B286F" w:rsidP="003B286F">
      <w:pPr>
        <w:widowControl/>
        <w:shd w:val="clear" w:color="auto" w:fill="FFFFFF"/>
        <w:spacing w:after="225" w:line="486" w:lineRule="atLeast"/>
        <w:ind w:left="975" w:right="1500"/>
        <w:jc w:val="left"/>
        <w:rPr>
          <w:rFonts w:ascii="Times New Roman" w:hAnsi="Times New Roman" w:cs="Times New Roman"/>
          <w:color w:val="666666"/>
          <w:kern w:val="0"/>
          <w:sz w:val="20"/>
          <w:szCs w:val="20"/>
        </w:rPr>
      </w:pP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FCF is negative, which is not good. Note, though, that the negative FCF is largely attributable to the $230 million expenditure for a new processing plant. This plant is large enough to meet production for several years, so another new plant will not be needed until 2020. Therefore, </w:t>
      </w: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FCF for 2017 and the next few years should increase, which means that </w:t>
      </w:r>
      <w:proofErr w:type="spellStart"/>
      <w:r w:rsidRPr="0038562A">
        <w:rPr>
          <w:rFonts w:ascii="Times New Roman" w:hAnsi="Times New Roman" w:cs="Times New Roman"/>
          <w:color w:val="666666"/>
          <w:kern w:val="0"/>
          <w:sz w:val="20"/>
          <w:szCs w:val="20"/>
        </w:rPr>
        <w:t>Allied’s</w:t>
      </w:r>
      <w:proofErr w:type="spellEnd"/>
      <w:r w:rsidRPr="0038562A">
        <w:rPr>
          <w:rFonts w:ascii="Times New Roman" w:hAnsi="Times New Roman" w:cs="Times New Roman"/>
          <w:color w:val="666666"/>
          <w:kern w:val="0"/>
          <w:sz w:val="20"/>
          <w:szCs w:val="20"/>
        </w:rPr>
        <w:t xml:space="preserve"> financial situation is not as bad as the negative FCF might suggest.</w:t>
      </w:r>
    </w:p>
    <w:p w14:paraId="3EE7267B" w14:textId="77777777" w:rsidR="003B286F" w:rsidRPr="0038562A" w:rsidRDefault="003B286F" w:rsidP="003B286F">
      <w:pPr>
        <w:widowControl/>
        <w:shd w:val="clear" w:color="auto" w:fill="FFFFFF"/>
        <w:spacing w:after="225" w:line="486" w:lineRule="atLeast"/>
        <w:ind w:left="975" w:right="1500"/>
        <w:jc w:val="left"/>
        <w:rPr>
          <w:rFonts w:ascii="Times New Roman" w:hAnsi="Times New Roman" w:cs="Times New Roman"/>
          <w:color w:val="666666"/>
          <w:kern w:val="0"/>
          <w:sz w:val="20"/>
          <w:szCs w:val="20"/>
        </w:rPr>
      </w:pPr>
      <w:r w:rsidRPr="0038562A">
        <w:rPr>
          <w:rFonts w:ascii="Times New Roman" w:hAnsi="Times New Roman" w:cs="Times New Roman"/>
          <w:color w:val="666666"/>
          <w:kern w:val="0"/>
          <w:sz w:val="20"/>
          <w:szCs w:val="20"/>
        </w:rPr>
        <w:t>Most rapidly growing companies have negative FCFs—the fixed assets and working capital needed to support a firm’s rapid growth generally exceed cash flows from its existing operations. This is not bad, provided a firm’s new investments are eventually profitable and contribute to its FCF.</w:t>
      </w:r>
    </w:p>
    <w:p w14:paraId="44BC20A3" w14:textId="77777777" w:rsidR="003B286F" w:rsidRPr="0038562A" w:rsidRDefault="003B286F" w:rsidP="003B286F">
      <w:pPr>
        <w:pStyle w:val="1"/>
        <w:spacing w:before="0" w:beforeAutospacing="0" w:after="0" w:afterAutospacing="0"/>
        <w:ind w:left="975" w:right="1500"/>
        <w:rPr>
          <w:rFonts w:ascii="Times New Roman" w:eastAsia="Times New Roman" w:hAnsi="Times New Roman" w:cs="Times New Roman"/>
          <w:b w:val="0"/>
          <w:bCs w:val="0"/>
          <w:color w:val="007DB8"/>
          <w:sz w:val="20"/>
          <w:szCs w:val="20"/>
        </w:rPr>
      </w:pPr>
      <w:r w:rsidRPr="0038562A">
        <w:rPr>
          <w:rStyle w:val="sectionlabel"/>
          <w:rFonts w:ascii="Times New Roman" w:eastAsia="Times New Roman" w:hAnsi="Times New Roman" w:cs="Times New Roman"/>
          <w:color w:val="7A7A7A"/>
          <w:sz w:val="20"/>
          <w:szCs w:val="20"/>
        </w:rPr>
        <w:t>3-8</w:t>
      </w:r>
      <w:r w:rsidRPr="0038562A">
        <w:rPr>
          <w:rStyle w:val="headingtext"/>
          <w:rFonts w:ascii="Times New Roman" w:eastAsia="Times New Roman" w:hAnsi="Times New Roman" w:cs="Times New Roman"/>
          <w:b w:val="0"/>
          <w:bCs w:val="0"/>
          <w:color w:val="007DB8"/>
          <w:sz w:val="20"/>
          <w:szCs w:val="20"/>
        </w:rPr>
        <w:t>MVA and EVA</w:t>
      </w:r>
    </w:p>
    <w:p w14:paraId="003CF2E6" w14:textId="77777777" w:rsidR="003B286F" w:rsidRPr="0038562A" w:rsidRDefault="003B286F" w:rsidP="003B286F">
      <w:pPr>
        <w:pStyle w:val="a3"/>
        <w:shd w:val="clear" w:color="auto" w:fill="FFFFFF"/>
        <w:spacing w:before="0" w:beforeAutospacing="0" w:after="225" w:afterAutospacing="0" w:line="486" w:lineRule="atLeast"/>
        <w:ind w:left="975" w:right="1500"/>
        <w:rPr>
          <w:rFonts w:ascii="Times New Roman" w:hAnsi="Times New Roman"/>
          <w:color w:val="666666"/>
        </w:rPr>
      </w:pPr>
      <w:r w:rsidRPr="0038562A">
        <w:rPr>
          <w:rFonts w:ascii="Times New Roman" w:hAnsi="Times New Roman"/>
          <w:color w:val="666666"/>
        </w:rPr>
        <w:t>Items reported on the financial statements reflect historical, in-the-past, values, not current market values, and there are often substantial differences between the two. Changes in interest rates and inflation affect the market value of the company’s assets and liabilities but often have no effect on the corresponding book values shown in the financial statements. Perhaps, more importantly, the market’s assessment of value takes into account its ongoing assessment of current operations as well as future opportunities. For example, it cost Microsoft very little to develop its first operating system, but that system turned out to be worth many billions that were not shown on its balance sheet. For a given level of debt, these increases in asset value also lead to a corresponding increase in the market value of equity.</w:t>
      </w:r>
    </w:p>
    <w:p w14:paraId="3D3F0153" w14:textId="77777777" w:rsidR="003B286F" w:rsidRPr="0038562A" w:rsidRDefault="003B286F" w:rsidP="003B286F">
      <w:pPr>
        <w:pStyle w:val="a3"/>
        <w:shd w:val="clear" w:color="auto" w:fill="FFFFFF"/>
        <w:spacing w:before="0" w:beforeAutospacing="0" w:after="0" w:afterAutospacing="0" w:line="486" w:lineRule="atLeast"/>
        <w:ind w:left="975" w:right="1500"/>
        <w:rPr>
          <w:rFonts w:ascii="Times New Roman" w:hAnsi="Times New Roman"/>
          <w:color w:val="666666"/>
        </w:rPr>
      </w:pPr>
      <w:r w:rsidRPr="0038562A">
        <w:rPr>
          <w:rFonts w:ascii="Times New Roman" w:hAnsi="Times New Roman"/>
          <w:color w:val="666666"/>
        </w:rPr>
        <w:t>To illustrate, consider the following situation. A firm was started with $1 million of assets at book value (historical cost), $500,000 of which was provided by bondholders, and $500,000 by stockholders (50,000 shares purchased at $10 per share). However, this firm became very successful; the market value of the firm’s equity is now worth $19.5 million, and its current stock price is</w:t>
      </w:r>
      <w:r w:rsidRPr="0038562A">
        <w:rPr>
          <w:rStyle w:val="apple-converted-space"/>
          <w:rFonts w:ascii="Times New Roman" w:hAnsi="Times New Roman"/>
          <w:color w:val="666666"/>
        </w:rPr>
        <w:t>  </w:t>
      </w:r>
      <w:r w:rsidRPr="0038562A">
        <w:rPr>
          <w:rFonts w:ascii="Times New Roman" w:hAnsi="Times New Roman"/>
          <w:color w:val="666666"/>
        </w:rPr>
        <w:t>per share. Clearly the firm’s managers have done a marvelous job for the stockholders.</w:t>
      </w:r>
    </w:p>
    <w:p w14:paraId="3522A798" w14:textId="77777777" w:rsidR="003B286F" w:rsidRPr="0038562A" w:rsidRDefault="003B286F" w:rsidP="003B286F">
      <w:pPr>
        <w:pStyle w:val="a3"/>
        <w:shd w:val="clear" w:color="auto" w:fill="FFFFFF"/>
        <w:spacing w:before="0" w:beforeAutospacing="0" w:after="0" w:afterAutospacing="0" w:line="486" w:lineRule="atLeast"/>
        <w:ind w:left="975" w:right="1500"/>
        <w:rPr>
          <w:rFonts w:ascii="Times New Roman" w:hAnsi="Times New Roman"/>
          <w:color w:val="666666"/>
        </w:rPr>
      </w:pPr>
      <w:r w:rsidRPr="0038562A">
        <w:rPr>
          <w:rFonts w:ascii="Times New Roman" w:hAnsi="Times New Roman"/>
          <w:color w:val="666666"/>
        </w:rPr>
        <w:t>The accounting statements do not reflect market values, so they are not sufficient for purposes of evaluating managers’ performance. To help fill this void, financial analysts have developed two additional performance measures, the first of which is</w:t>
      </w:r>
      <w:r w:rsidRPr="0038562A">
        <w:rPr>
          <w:rStyle w:val="apple-converted-space"/>
          <w:rFonts w:ascii="Times New Roman" w:hAnsi="Times New Roman"/>
          <w:color w:val="666666"/>
        </w:rPr>
        <w:t> </w:t>
      </w:r>
      <w:hyperlink r:id="rId37" w:history="1">
        <w:r w:rsidRPr="0038562A">
          <w:rPr>
            <w:rStyle w:val="primaryterm"/>
            <w:rFonts w:ascii="Times New Roman" w:hAnsi="Times New Roman"/>
            <w:b/>
            <w:bCs/>
            <w:color w:val="0081BC"/>
          </w:rPr>
          <w:t>MVA,</w:t>
        </w:r>
        <w:r w:rsidRPr="0038562A">
          <w:rPr>
            <w:rStyle w:val="apple-converted-space"/>
            <w:rFonts w:ascii="Times New Roman" w:hAnsi="Times New Roman"/>
            <w:b/>
            <w:bCs/>
            <w:color w:val="0081BC"/>
          </w:rPr>
          <w:t> </w:t>
        </w:r>
        <w:r w:rsidRPr="0038562A">
          <w:rPr>
            <w:rStyle w:val="a8"/>
            <w:rFonts w:ascii="Times New Roman" w:hAnsi="Times New Roman"/>
            <w:color w:val="0081BC"/>
          </w:rPr>
          <w:t>or</w:t>
        </w:r>
        <w:r w:rsidRPr="0038562A">
          <w:rPr>
            <w:rStyle w:val="primaryterm"/>
            <w:rFonts w:ascii="Times New Roman" w:hAnsi="Times New Roman"/>
            <w:b/>
            <w:bCs/>
            <w:color w:val="0081BC"/>
          </w:rPr>
          <w:t>market value added</w:t>
        </w:r>
      </w:hyperlink>
      <w:r w:rsidRPr="0038562A">
        <w:rPr>
          <w:rFonts w:ascii="Times New Roman" w:hAnsi="Times New Roman"/>
          <w:color w:val="666666"/>
        </w:rPr>
        <w:t>.</w:t>
      </w:r>
      <w:r w:rsidRPr="0038562A">
        <w:rPr>
          <w:rFonts w:ascii="Times New Roman" w:hAnsi="Times New Roman"/>
          <w:noProof/>
          <w:color w:val="008CD2"/>
        </w:rPr>
        <w:drawing>
          <wp:inline distT="0" distB="0" distL="0" distR="0" wp14:anchorId="2A0673AA" wp14:editId="54901520">
            <wp:extent cx="167005" cy="167005"/>
            <wp:effectExtent l="0" t="0" r="10795" b="10795"/>
            <wp:docPr id="23" name="图片 23" descr="http://ng.cengage.com/static/nbapps/glossary/images/footstar.png">
              <a:hlinkClick xmlns:a="http://schemas.openxmlformats.org/drawingml/2006/main" r:id="rId20"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ng.cengage.com/static/nbapps/glossary/images/footstar.png">
                      <a:hlinkClick r:id="rId20" tooltip="&quot;Footnot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r w:rsidRPr="0038562A">
        <w:rPr>
          <w:rStyle w:val="apple-converted-space"/>
          <w:rFonts w:ascii="Times New Roman" w:hAnsi="Times New Roman"/>
          <w:color w:val="666666"/>
        </w:rPr>
        <w:t> </w:t>
      </w:r>
      <w:r w:rsidRPr="0038562A">
        <w:rPr>
          <w:rFonts w:ascii="Times New Roman" w:hAnsi="Times New Roman"/>
          <w:color w:val="666666"/>
        </w:rPr>
        <w:t>MVA is simply the difference between the market value of a firm’s equity and the book value as shown on the balance sheet, with market value found by multiplying the stock price by the number of shares outstanding. For our hypothetical firm, MVA is</w:t>
      </w:r>
      <w:r w:rsidRPr="0038562A">
        <w:rPr>
          <w:rStyle w:val="apple-converted-space"/>
          <w:rFonts w:ascii="Times New Roman" w:hAnsi="Times New Roman"/>
          <w:color w:val="666666"/>
        </w:rPr>
        <w:t> </w:t>
      </w:r>
      <w:r w:rsidRPr="0038562A">
        <w:rPr>
          <w:rFonts w:ascii="Times New Roman" w:hAnsi="Times New Roman"/>
          <w:color w:val="666666"/>
        </w:rPr>
        <w:t>.</w:t>
      </w:r>
    </w:p>
    <w:p w14:paraId="0D843D4D" w14:textId="77777777" w:rsidR="003B286F" w:rsidRPr="0038562A" w:rsidRDefault="003B286F" w:rsidP="003B286F">
      <w:pPr>
        <w:pStyle w:val="a3"/>
        <w:shd w:val="clear" w:color="auto" w:fill="FFFFFF"/>
        <w:spacing w:before="0" w:beforeAutospacing="0" w:after="0" w:afterAutospacing="0" w:line="486" w:lineRule="atLeast"/>
        <w:ind w:left="975" w:right="1500"/>
        <w:rPr>
          <w:rFonts w:ascii="Times New Roman" w:hAnsi="Times New Roman"/>
          <w:color w:val="666666"/>
        </w:rPr>
      </w:pPr>
      <w:r w:rsidRPr="0038562A">
        <w:rPr>
          <w:rFonts w:ascii="Times New Roman" w:hAnsi="Times New Roman"/>
          <w:color w:val="666666"/>
        </w:rPr>
        <w:t>For Allied, which has 50 million shares outstanding and a stock price of $23.06, the market value of the equity is $1,153 million versus a book value, as shown on the balance sheet in</w:t>
      </w:r>
      <w:r w:rsidRPr="0038562A">
        <w:rPr>
          <w:rStyle w:val="apple-converted-space"/>
          <w:rFonts w:ascii="Times New Roman" w:hAnsi="Times New Roman"/>
          <w:color w:val="666666"/>
        </w:rPr>
        <w:t> </w:t>
      </w:r>
      <w:hyperlink r:id="rId38" w:history="1">
        <w:r w:rsidRPr="0038562A">
          <w:rPr>
            <w:rStyle w:val="a7"/>
            <w:rFonts w:ascii="Times New Roman" w:hAnsi="Times New Roman"/>
            <w:color w:val="008CD2"/>
          </w:rPr>
          <w:t>Table 3.1</w:t>
        </w:r>
      </w:hyperlink>
      <w:r w:rsidRPr="0038562A">
        <w:rPr>
          <w:rFonts w:ascii="Times New Roman" w:hAnsi="Times New Roman"/>
          <w:color w:val="666666"/>
        </w:rPr>
        <w:t xml:space="preserve">, of $940 million. Therefore, </w:t>
      </w:r>
      <w:proofErr w:type="spellStart"/>
      <w:r w:rsidRPr="0038562A">
        <w:rPr>
          <w:rFonts w:ascii="Times New Roman" w:hAnsi="Times New Roman"/>
          <w:color w:val="666666"/>
        </w:rPr>
        <w:t>Allied’s</w:t>
      </w:r>
      <w:proofErr w:type="spellEnd"/>
      <w:r w:rsidRPr="0038562A">
        <w:rPr>
          <w:rFonts w:ascii="Times New Roman" w:hAnsi="Times New Roman"/>
          <w:color w:val="666666"/>
        </w:rPr>
        <w:t xml:space="preserve"> MVA is</w:t>
      </w:r>
      <w:r w:rsidRPr="0038562A">
        <w:rPr>
          <w:rStyle w:val="apple-converted-space"/>
          <w:rFonts w:ascii="Times New Roman" w:hAnsi="Times New Roman"/>
          <w:color w:val="666666"/>
        </w:rPr>
        <w:t> </w:t>
      </w:r>
      <w:r w:rsidRPr="0038562A">
        <w:rPr>
          <w:rStyle w:val="inlinemath"/>
          <w:rFonts w:ascii="Times New Roman" w:hAnsi="Times New Roman"/>
          <w:color w:val="666666"/>
        </w:rPr>
        <w:t>million</w:t>
      </w:r>
      <w:r w:rsidRPr="0038562A">
        <w:rPr>
          <w:rFonts w:ascii="Times New Roman" w:hAnsi="Times New Roman"/>
          <w:color w:val="666666"/>
        </w:rPr>
        <w:t xml:space="preserve">. This $213 million represents the difference between the money </w:t>
      </w:r>
      <w:proofErr w:type="spellStart"/>
      <w:r w:rsidRPr="0038562A">
        <w:rPr>
          <w:rFonts w:ascii="Times New Roman" w:hAnsi="Times New Roman"/>
          <w:color w:val="666666"/>
        </w:rPr>
        <w:t>Allied’s</w:t>
      </w:r>
      <w:proofErr w:type="spellEnd"/>
      <w:r w:rsidRPr="0038562A">
        <w:rPr>
          <w:rFonts w:ascii="Times New Roman" w:hAnsi="Times New Roman"/>
          <w:color w:val="666666"/>
        </w:rPr>
        <w:t xml:space="preserve"> stockholders have invested in the corporation since its founding—including retained earnings—versus the cash they could receive if they sold the business. The higher its MVA, the better the job management is doing for the firm’s shareholders. Boards of directors often look at MVA when deciding on the compensation a firm’s</w:t>
      </w:r>
      <w:bookmarkStart w:id="9" w:name="PageEnd_80"/>
      <w:bookmarkEnd w:id="9"/>
      <w:r w:rsidRPr="0038562A">
        <w:rPr>
          <w:rStyle w:val="apple-converted-space"/>
          <w:rFonts w:ascii="Times New Roman" w:hAnsi="Times New Roman"/>
          <w:color w:val="666666"/>
        </w:rPr>
        <w:t> </w:t>
      </w:r>
      <w:r w:rsidRPr="0038562A">
        <w:rPr>
          <w:rFonts w:ascii="Times New Roman" w:hAnsi="Times New Roman"/>
          <w:color w:val="666666"/>
        </w:rPr>
        <w:t>managers deserve. Note, though, that just as all ships rise in a rising tide, most firms’ stock prices rise in a rising stock market, so a positive MVA may not be entirely attributable to management performance.</w:t>
      </w:r>
    </w:p>
    <w:p w14:paraId="2530669A" w14:textId="77777777" w:rsidR="003B286F" w:rsidRPr="0038562A" w:rsidRDefault="003B286F" w:rsidP="003B286F">
      <w:pPr>
        <w:pStyle w:val="a3"/>
        <w:shd w:val="clear" w:color="auto" w:fill="FFFFFF"/>
        <w:spacing w:before="0" w:beforeAutospacing="0" w:after="225" w:afterAutospacing="0" w:line="486" w:lineRule="atLeast"/>
        <w:ind w:left="975" w:right="1500"/>
        <w:rPr>
          <w:rFonts w:ascii="Times New Roman" w:hAnsi="Times New Roman"/>
          <w:color w:val="666666"/>
        </w:rPr>
      </w:pPr>
      <w:r w:rsidRPr="0038562A">
        <w:rPr>
          <w:rFonts w:ascii="Times New Roman" w:hAnsi="Times New Roman"/>
          <w:color w:val="666666"/>
        </w:rPr>
        <w:t>A related concept,</w:t>
      </w:r>
      <w:r w:rsidRPr="0038562A">
        <w:rPr>
          <w:rStyle w:val="apple-converted-space"/>
          <w:rFonts w:ascii="Times New Roman" w:hAnsi="Times New Roman"/>
          <w:color w:val="666666"/>
        </w:rPr>
        <w:t> </w:t>
      </w:r>
      <w:hyperlink r:id="rId39" w:history="1">
        <w:r w:rsidRPr="0038562A">
          <w:rPr>
            <w:rStyle w:val="primaryterm"/>
            <w:rFonts w:ascii="Times New Roman" w:hAnsi="Times New Roman"/>
            <w:b/>
            <w:bCs/>
            <w:color w:val="0081BC"/>
          </w:rPr>
          <w:t>economic value added (EVA)</w:t>
        </w:r>
      </w:hyperlink>
      <w:r w:rsidRPr="0038562A">
        <w:rPr>
          <w:rFonts w:ascii="Times New Roman" w:hAnsi="Times New Roman"/>
          <w:color w:val="666666"/>
        </w:rPr>
        <w:t>, sometimes called “economic profit,” is closely related to MVA and is found as follows:</w:t>
      </w:r>
      <w:r w:rsidRPr="0038562A">
        <w:rPr>
          <w:rFonts w:ascii="Times New Roman" w:hAnsi="Times New Roman"/>
          <w:noProof/>
          <w:color w:val="008CD2"/>
        </w:rPr>
        <w:drawing>
          <wp:inline distT="0" distB="0" distL="0" distR="0" wp14:anchorId="36875AB2" wp14:editId="01AF31FD">
            <wp:extent cx="167005" cy="167005"/>
            <wp:effectExtent l="0" t="0" r="10795" b="10795"/>
            <wp:docPr id="24" name="图片 24" descr="http://ng.cengage.com/static/nbapps/glossary/images/footstar.png">
              <a:hlinkClick xmlns:a="http://schemas.openxmlformats.org/drawingml/2006/main" r:id="rId20"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ng.cengage.com/static/nbapps/glossary/images/footstar.png">
                      <a:hlinkClick r:id="rId20" tooltip="&quot;Footnot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p>
    <w:p w14:paraId="4CDCDB31" w14:textId="77777777" w:rsidR="003B286F" w:rsidRPr="0038562A" w:rsidRDefault="003B286F" w:rsidP="003B286F">
      <w:pPr>
        <w:shd w:val="clear" w:color="auto" w:fill="FFFFFF"/>
        <w:spacing w:line="486" w:lineRule="atLeast"/>
        <w:jc w:val="center"/>
        <w:textAlignment w:val="top"/>
        <w:rPr>
          <w:rFonts w:ascii="Times New Roman" w:eastAsia="Times New Roman" w:hAnsi="Times New Roman" w:cs="Times New Roman"/>
          <w:b/>
          <w:bCs/>
          <w:color w:val="000000"/>
          <w:sz w:val="20"/>
          <w:szCs w:val="20"/>
        </w:rPr>
      </w:pPr>
      <w:r w:rsidRPr="0038562A">
        <w:rPr>
          <w:rFonts w:ascii="Times New Roman" w:eastAsia="Times New Roman" w:hAnsi="Times New Roman" w:cs="Times New Roman"/>
          <w:b/>
          <w:bCs/>
          <w:color w:val="000000"/>
          <w:sz w:val="20"/>
          <w:szCs w:val="20"/>
        </w:rPr>
        <w:t>3.4</w:t>
      </w:r>
    </w:p>
    <w:p w14:paraId="4FD1B7F3" w14:textId="77777777" w:rsidR="003B286F" w:rsidRPr="0038562A" w:rsidRDefault="003B286F" w:rsidP="003B286F">
      <w:pPr>
        <w:pStyle w:val="a3"/>
        <w:shd w:val="clear" w:color="auto" w:fill="FFFFFF"/>
        <w:spacing w:before="0" w:beforeAutospacing="0" w:after="225" w:afterAutospacing="0" w:line="486" w:lineRule="atLeast"/>
        <w:ind w:left="975" w:right="1500"/>
        <w:rPr>
          <w:rFonts w:ascii="Times New Roman" w:hAnsi="Times New Roman"/>
          <w:color w:val="666666"/>
        </w:rPr>
      </w:pPr>
      <w:r w:rsidRPr="0038562A">
        <w:rPr>
          <w:rFonts w:ascii="Times New Roman" w:hAnsi="Times New Roman"/>
          <w:color w:val="666666"/>
        </w:rPr>
        <w:t>Companies create value (and realize positive EVA) if the benefits of their investments exceed the cost of raising the necessary capital. Total invested capital represents the amount of money that the company has raised from debt, equity, and any other sources of capital (such as preferred stock). The annual dollar cost of capital is total invested capital multiplied by the after-tax percentage cost of this capital. So, for example, if the company has raised $1 million in capital, and the current cost of capital is 10%, the annual dollar cost of capital would be $100,000. The funds raised from this capital are invested in a variety of net fixed assets and net operating working capital. In any given year, NOPAT is the amount of money that these investments have generated for the company’s investors after paying for operating costs and taxes—in this regard it represents the benefits of capital investments.</w:t>
      </w:r>
    </w:p>
    <w:p w14:paraId="3B8AB441" w14:textId="77777777" w:rsidR="003B286F" w:rsidRPr="0038562A" w:rsidRDefault="003B286F" w:rsidP="003B286F">
      <w:pPr>
        <w:pStyle w:val="a3"/>
        <w:shd w:val="clear" w:color="auto" w:fill="FFFFFF"/>
        <w:spacing w:before="0" w:beforeAutospacing="0" w:after="225" w:afterAutospacing="0" w:line="486" w:lineRule="atLeast"/>
        <w:ind w:left="975" w:right="1500"/>
        <w:rPr>
          <w:rFonts w:ascii="Times New Roman" w:hAnsi="Times New Roman"/>
          <w:color w:val="666666"/>
        </w:rPr>
      </w:pPr>
      <w:r w:rsidRPr="0038562A">
        <w:rPr>
          <w:rFonts w:ascii="Times New Roman" w:hAnsi="Times New Roman"/>
          <w:color w:val="666666"/>
        </w:rPr>
        <w:t>EVA is an estimate of a business’s true economic profit for a given year, and it often differs sharply from accounting net income. The main reason for this difference is that although accounting income takes into account the cost of debt (the company’s interest expense), it does not deduct for the cost of equity capital. By contrast, EVA takes into account the total dollar cost of all capital, which includes both the cost of debt and equity capital.</w:t>
      </w:r>
    </w:p>
    <w:p w14:paraId="5331E652" w14:textId="77777777" w:rsidR="003B286F" w:rsidRPr="0038562A" w:rsidRDefault="003B286F" w:rsidP="003B286F">
      <w:pPr>
        <w:pStyle w:val="a3"/>
        <w:shd w:val="clear" w:color="auto" w:fill="FFFFFF"/>
        <w:spacing w:before="0" w:beforeAutospacing="0" w:after="225" w:afterAutospacing="0" w:line="486" w:lineRule="atLeast"/>
        <w:ind w:left="975" w:right="1500"/>
        <w:rPr>
          <w:rFonts w:ascii="Times New Roman" w:hAnsi="Times New Roman"/>
          <w:color w:val="666666"/>
        </w:rPr>
      </w:pPr>
      <w:r w:rsidRPr="0038562A">
        <w:rPr>
          <w:rFonts w:ascii="Times New Roman" w:hAnsi="Times New Roman"/>
          <w:color w:val="666666"/>
        </w:rPr>
        <w:t>If EVA is positive, then after-tax operating income exceeds the cost of the capital needed to produce that income, and management’s actions are adding value for stockholders. Positive EVA on an annual basis will help ensure that MVA is also positive. Note that whereas MVA applies to the entire firm, EVA can be determined for divisions as well as for the company as a whole, so it is useful as a guide to “reasonable” compensation for divisional as well as top corporate managers.</w:t>
      </w:r>
    </w:p>
    <w:p w14:paraId="3C5DC748" w14:textId="77777777" w:rsidR="003B286F" w:rsidRPr="0038562A" w:rsidRDefault="003B286F" w:rsidP="003B286F">
      <w:pPr>
        <w:pStyle w:val="1"/>
        <w:shd w:val="clear" w:color="auto" w:fill="FFFFFF"/>
        <w:spacing w:before="360" w:beforeAutospacing="0" w:after="0" w:afterAutospacing="0"/>
        <w:ind w:left="975" w:right="1500"/>
        <w:rPr>
          <w:rFonts w:ascii="Times New Roman" w:eastAsia="Times New Roman" w:hAnsi="Times New Roman" w:cs="Times New Roman"/>
          <w:b w:val="0"/>
          <w:bCs w:val="0"/>
          <w:color w:val="007DB8"/>
          <w:sz w:val="20"/>
          <w:szCs w:val="20"/>
        </w:rPr>
      </w:pPr>
      <w:r w:rsidRPr="0038562A">
        <w:rPr>
          <w:rStyle w:val="headingtext"/>
          <w:rFonts w:ascii="Times New Roman" w:eastAsia="Times New Roman" w:hAnsi="Times New Roman" w:cs="Times New Roman"/>
          <w:b w:val="0"/>
          <w:bCs w:val="0"/>
          <w:color w:val="007DB8"/>
          <w:sz w:val="20"/>
          <w:szCs w:val="20"/>
        </w:rPr>
        <w:t>Income Taxes</w:t>
      </w:r>
    </w:p>
    <w:p w14:paraId="74B2F9C8" w14:textId="77777777" w:rsidR="003B286F" w:rsidRPr="0038562A" w:rsidRDefault="003B286F" w:rsidP="003B286F">
      <w:pPr>
        <w:pStyle w:val="a3"/>
        <w:spacing w:before="0" w:beforeAutospacing="0" w:after="0" w:afterAutospacing="0"/>
        <w:rPr>
          <w:rFonts w:ascii="Times New Roman" w:hAnsi="Times New Roman"/>
          <w:color w:val="696969"/>
        </w:rPr>
      </w:pPr>
      <w:r w:rsidRPr="0038562A">
        <w:rPr>
          <w:rStyle w:val="apple-converted-space"/>
          <w:rFonts w:ascii="Times New Roman" w:hAnsi="Times New Roman"/>
          <w:color w:val="696969"/>
        </w:rPr>
        <w:t> </w:t>
      </w:r>
      <w:r w:rsidRPr="0038562A">
        <w:rPr>
          <w:rFonts w:ascii="Times New Roman" w:hAnsi="Times New Roman"/>
          <w:color w:val="696969"/>
        </w:rPr>
        <w:t>The IRS website is</w:t>
      </w:r>
      <w:bookmarkStart w:id="10" w:name="QNBTBZ167263171"/>
      <w:r w:rsidRPr="0038562A">
        <w:rPr>
          <w:rFonts w:ascii="Times New Roman" w:hAnsi="Times New Roman"/>
          <w:color w:val="696969"/>
        </w:rPr>
        <w:fldChar w:fldCharType="begin"/>
      </w:r>
      <w:r w:rsidRPr="0038562A">
        <w:rPr>
          <w:rFonts w:ascii="Times New Roman" w:hAnsi="Times New Roman"/>
          <w:color w:val="696969"/>
        </w:rPr>
        <w:instrText xml:space="preserve"> HYPERLINK "http://www.irs.gov/" \t "_blank" </w:instrText>
      </w:r>
      <w:r w:rsidRPr="0038562A">
        <w:rPr>
          <w:rFonts w:ascii="Times New Roman" w:hAnsi="Times New Roman"/>
          <w:color w:val="696969"/>
        </w:rPr>
        <w:fldChar w:fldCharType="separate"/>
      </w:r>
      <w:r w:rsidRPr="0038562A">
        <w:rPr>
          <w:rStyle w:val="a7"/>
          <w:rFonts w:ascii="Times New Roman" w:hAnsi="Times New Roman"/>
          <w:color w:val="008CD2"/>
        </w:rPr>
        <w:t>www.irs.gov</w:t>
      </w:r>
      <w:r w:rsidRPr="0038562A">
        <w:rPr>
          <w:rFonts w:ascii="Times New Roman" w:hAnsi="Times New Roman"/>
          <w:color w:val="696969"/>
        </w:rPr>
        <w:fldChar w:fldCharType="end"/>
      </w:r>
      <w:bookmarkEnd w:id="10"/>
      <w:r w:rsidRPr="0038562A">
        <w:rPr>
          <w:rFonts w:ascii="Times New Roman" w:hAnsi="Times New Roman"/>
          <w:color w:val="696969"/>
        </w:rPr>
        <w:t>. Here you can find current filing information and current credits and deductions information, and order needed forms and publications.</w:t>
      </w:r>
    </w:p>
    <w:p w14:paraId="11256BB0"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r w:rsidRPr="0038562A">
        <w:rPr>
          <w:rFonts w:ascii="Times New Roman" w:hAnsi="Times New Roman"/>
          <w:color w:val="666666"/>
        </w:rPr>
        <w:t>Individuals and corporations pay out a significant portion of their income as taxes, so taxes are important in both personal and corporate decisions. We summarize the key aspects of the U.S. tax system for individuals in this section and for corporations in the next section, using 2015 data. The details of our tax laws change fairly often—annually for items that are indexed for inflation—but the basic nature of the tax system is likely to remain intact.</w:t>
      </w:r>
    </w:p>
    <w:p w14:paraId="63A1067E" w14:textId="77777777" w:rsidR="003B286F" w:rsidRPr="0038562A" w:rsidRDefault="003B286F" w:rsidP="003B286F">
      <w:pPr>
        <w:pStyle w:val="a3"/>
        <w:shd w:val="clear" w:color="auto" w:fill="FFFFFF"/>
        <w:spacing w:before="0" w:beforeAutospacing="0" w:after="225" w:afterAutospacing="0" w:line="486" w:lineRule="atLeast"/>
        <w:ind w:left="975" w:right="1500"/>
        <w:rPr>
          <w:rFonts w:ascii="Times New Roman" w:hAnsi="Times New Roman"/>
          <w:color w:val="666666"/>
        </w:rPr>
      </w:pPr>
    </w:p>
    <w:p w14:paraId="3382FB85" w14:textId="77777777" w:rsidR="003B286F" w:rsidRPr="0038562A" w:rsidRDefault="003B286F" w:rsidP="003B286F">
      <w:pPr>
        <w:spacing w:line="486" w:lineRule="atLeast"/>
        <w:rPr>
          <w:rFonts w:ascii="Times New Roman" w:eastAsia="Times New Roman" w:hAnsi="Times New Roman" w:cs="Times New Roman"/>
          <w:color w:val="666666"/>
          <w:sz w:val="20"/>
          <w:szCs w:val="20"/>
        </w:rPr>
      </w:pPr>
    </w:p>
    <w:p w14:paraId="42F7FECC" w14:textId="77777777" w:rsidR="003B286F" w:rsidRPr="0038562A" w:rsidRDefault="003B286F" w:rsidP="003B286F">
      <w:pPr>
        <w:widowControl/>
        <w:shd w:val="clear" w:color="auto" w:fill="FFFFFF"/>
        <w:spacing w:after="225" w:line="486" w:lineRule="atLeast"/>
        <w:ind w:left="975" w:right="1500"/>
        <w:jc w:val="left"/>
        <w:rPr>
          <w:rFonts w:ascii="Times New Roman" w:hAnsi="Times New Roman" w:cs="Times New Roman"/>
          <w:color w:val="666666"/>
          <w:kern w:val="0"/>
          <w:sz w:val="20"/>
          <w:szCs w:val="20"/>
        </w:rPr>
      </w:pPr>
    </w:p>
    <w:p w14:paraId="3EF6BE03"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p>
    <w:p w14:paraId="1AE45421" w14:textId="77777777" w:rsidR="003B286F" w:rsidRPr="0038562A" w:rsidRDefault="003B286F" w:rsidP="003B286F">
      <w:pPr>
        <w:widowControl/>
        <w:shd w:val="clear" w:color="auto" w:fill="FFFFFF"/>
        <w:spacing w:after="225" w:line="486" w:lineRule="atLeast"/>
        <w:ind w:left="975" w:right="1500"/>
        <w:jc w:val="left"/>
        <w:rPr>
          <w:rFonts w:ascii="Times New Roman" w:hAnsi="Times New Roman" w:cs="Times New Roman"/>
          <w:color w:val="666666"/>
          <w:kern w:val="0"/>
          <w:sz w:val="20"/>
          <w:szCs w:val="20"/>
        </w:rPr>
      </w:pPr>
    </w:p>
    <w:p w14:paraId="447C4410"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p>
    <w:p w14:paraId="6E4BFDFD"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p>
    <w:p w14:paraId="745BCD7D" w14:textId="77777777" w:rsidR="003B286F" w:rsidRPr="0038562A" w:rsidRDefault="003B286F" w:rsidP="003B286F">
      <w:pPr>
        <w:pStyle w:val="a3"/>
        <w:shd w:val="clear" w:color="auto" w:fill="FFFFFF"/>
        <w:spacing w:before="0" w:beforeAutospacing="0" w:after="225" w:afterAutospacing="0"/>
        <w:ind w:left="975" w:right="1500"/>
        <w:rPr>
          <w:rFonts w:ascii="Times New Roman" w:hAnsi="Times New Roman"/>
          <w:color w:val="666666"/>
        </w:rPr>
      </w:pPr>
    </w:p>
    <w:p w14:paraId="00E73AE9" w14:textId="77777777" w:rsidR="003B286F" w:rsidRPr="0038562A" w:rsidRDefault="003B286F" w:rsidP="003B286F">
      <w:pPr>
        <w:widowControl/>
        <w:shd w:val="clear" w:color="auto" w:fill="FFFFFF"/>
        <w:ind w:left="975" w:right="1500"/>
        <w:jc w:val="left"/>
        <w:rPr>
          <w:rFonts w:ascii="Times New Roman" w:hAnsi="Times New Roman" w:cs="Times New Roman"/>
          <w:color w:val="666666"/>
          <w:kern w:val="0"/>
          <w:sz w:val="20"/>
          <w:szCs w:val="20"/>
        </w:rPr>
      </w:pPr>
    </w:p>
    <w:p w14:paraId="41CBB1EB" w14:textId="77777777" w:rsidR="00496203" w:rsidRPr="0038562A" w:rsidRDefault="00496203">
      <w:pPr>
        <w:rPr>
          <w:rFonts w:ascii="Times New Roman" w:hAnsi="Times New Roman" w:cs="Times New Roman"/>
          <w:sz w:val="20"/>
          <w:szCs w:val="20"/>
        </w:rPr>
      </w:pPr>
    </w:p>
    <w:p w14:paraId="7BB475B8" w14:textId="77777777" w:rsidR="00CD23D3" w:rsidRDefault="00CD23D3"/>
    <w:sectPr w:rsidR="00CD23D3" w:rsidSect="00C903D4">
      <w:pgSz w:w="12240" w:h="15840"/>
      <w:pgMar w:top="1440" w:right="1800" w:bottom="1440" w:left="1800" w:header="720" w:footer="720" w:gutter="0"/>
      <w:cols w:space="720"/>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宋体">
    <w:panose1 w:val="02010600030101010101"/>
    <w:charset w:val="50"/>
    <w:family w:val="auto"/>
    <w:pitch w:val="variable"/>
    <w:sig w:usb0="00000003" w:usb1="288F0000" w:usb2="00000016" w:usb3="00000000" w:csb0="00040001"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465C4"/>
    <w:multiLevelType w:val="multilevel"/>
    <w:tmpl w:val="DF961F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91E36A5"/>
    <w:multiLevelType w:val="multilevel"/>
    <w:tmpl w:val="42F8B5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DD84DBB"/>
    <w:multiLevelType w:val="multilevel"/>
    <w:tmpl w:val="6722FC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14D57E6"/>
    <w:multiLevelType w:val="multilevel"/>
    <w:tmpl w:val="C5D29C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286F"/>
    <w:rsid w:val="0038562A"/>
    <w:rsid w:val="003B286F"/>
    <w:rsid w:val="00496203"/>
    <w:rsid w:val="006F7B53"/>
    <w:rsid w:val="00C903D4"/>
    <w:rsid w:val="00CD23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8702AA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0"/>
    <w:uiPriority w:val="9"/>
    <w:qFormat/>
    <w:rsid w:val="003B286F"/>
    <w:pPr>
      <w:widowControl/>
      <w:spacing w:before="100" w:beforeAutospacing="1" w:after="100" w:afterAutospacing="1"/>
      <w:jc w:val="left"/>
      <w:outlineLvl w:val="0"/>
    </w:pPr>
    <w:rPr>
      <w:rFonts w:ascii="Times" w:hAnsi="Times"/>
      <w:b/>
      <w:bCs/>
      <w:kern w:val="36"/>
      <w:sz w:val="48"/>
      <w:szCs w:val="48"/>
    </w:rPr>
  </w:style>
  <w:style w:type="paragraph" w:styleId="2">
    <w:name w:val="heading 2"/>
    <w:basedOn w:val="a"/>
    <w:next w:val="a"/>
    <w:link w:val="20"/>
    <w:uiPriority w:val="9"/>
    <w:semiHidden/>
    <w:unhideWhenUsed/>
    <w:qFormat/>
    <w:rsid w:val="003B286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字符"/>
    <w:basedOn w:val="a0"/>
    <w:link w:val="1"/>
    <w:uiPriority w:val="9"/>
    <w:rsid w:val="003B286F"/>
    <w:rPr>
      <w:rFonts w:ascii="Times" w:hAnsi="Times"/>
      <w:b/>
      <w:bCs/>
      <w:kern w:val="36"/>
      <w:sz w:val="48"/>
      <w:szCs w:val="48"/>
    </w:rPr>
  </w:style>
  <w:style w:type="character" w:customStyle="1" w:styleId="sectionlabel">
    <w:name w:val="sectionlabel"/>
    <w:basedOn w:val="a0"/>
    <w:rsid w:val="003B286F"/>
  </w:style>
  <w:style w:type="character" w:customStyle="1" w:styleId="headingtext">
    <w:name w:val="headingtext"/>
    <w:basedOn w:val="a0"/>
    <w:rsid w:val="003B286F"/>
  </w:style>
  <w:style w:type="paragraph" w:styleId="a3">
    <w:name w:val="Normal (Web)"/>
    <w:basedOn w:val="a"/>
    <w:uiPriority w:val="99"/>
    <w:semiHidden/>
    <w:unhideWhenUsed/>
    <w:rsid w:val="003B286F"/>
    <w:pPr>
      <w:widowControl/>
      <w:spacing w:before="100" w:beforeAutospacing="1" w:after="100" w:afterAutospacing="1"/>
      <w:jc w:val="left"/>
    </w:pPr>
    <w:rPr>
      <w:rFonts w:ascii="Times" w:hAnsi="Times" w:cs="Times New Roman"/>
      <w:kern w:val="0"/>
      <w:sz w:val="20"/>
      <w:szCs w:val="20"/>
    </w:rPr>
  </w:style>
  <w:style w:type="character" w:customStyle="1" w:styleId="apple-converted-space">
    <w:name w:val="apple-converted-space"/>
    <w:basedOn w:val="a0"/>
    <w:rsid w:val="003B286F"/>
  </w:style>
  <w:style w:type="character" w:customStyle="1" w:styleId="primaryterm">
    <w:name w:val="primaryterm"/>
    <w:basedOn w:val="a0"/>
    <w:rsid w:val="003B286F"/>
  </w:style>
  <w:style w:type="character" w:customStyle="1" w:styleId="footnote">
    <w:name w:val="footnote"/>
    <w:basedOn w:val="a0"/>
    <w:rsid w:val="003B286F"/>
  </w:style>
  <w:style w:type="character" w:styleId="a4">
    <w:name w:val="Emphasis"/>
    <w:basedOn w:val="a0"/>
    <w:uiPriority w:val="20"/>
    <w:qFormat/>
    <w:rsid w:val="003B286F"/>
    <w:rPr>
      <w:i/>
      <w:iCs/>
    </w:rPr>
  </w:style>
  <w:style w:type="paragraph" w:styleId="a5">
    <w:name w:val="Balloon Text"/>
    <w:basedOn w:val="a"/>
    <w:link w:val="a6"/>
    <w:uiPriority w:val="99"/>
    <w:semiHidden/>
    <w:unhideWhenUsed/>
    <w:rsid w:val="003B286F"/>
    <w:rPr>
      <w:rFonts w:ascii="Lucida Grande" w:hAnsi="Lucida Grande" w:cs="Lucida Grande"/>
      <w:sz w:val="18"/>
      <w:szCs w:val="18"/>
    </w:rPr>
  </w:style>
  <w:style w:type="character" w:customStyle="1" w:styleId="a6">
    <w:name w:val="批注框文本字符"/>
    <w:basedOn w:val="a0"/>
    <w:link w:val="a5"/>
    <w:uiPriority w:val="99"/>
    <w:semiHidden/>
    <w:rsid w:val="003B286F"/>
    <w:rPr>
      <w:rFonts w:ascii="Lucida Grande" w:hAnsi="Lucida Grande" w:cs="Lucida Grande"/>
      <w:sz w:val="18"/>
      <w:szCs w:val="18"/>
    </w:rPr>
  </w:style>
  <w:style w:type="character" w:styleId="a7">
    <w:name w:val="Hyperlink"/>
    <w:basedOn w:val="a0"/>
    <w:uiPriority w:val="99"/>
    <w:semiHidden/>
    <w:unhideWhenUsed/>
    <w:rsid w:val="003B286F"/>
    <w:rPr>
      <w:color w:val="0000FF"/>
      <w:u w:val="single"/>
    </w:rPr>
  </w:style>
  <w:style w:type="character" w:customStyle="1" w:styleId="medialabeltext">
    <w:name w:val="medialabeltext"/>
    <w:basedOn w:val="a0"/>
    <w:rsid w:val="003B286F"/>
  </w:style>
  <w:style w:type="character" w:customStyle="1" w:styleId="mediafigurenumber">
    <w:name w:val="mediafigurenumber"/>
    <w:basedOn w:val="a0"/>
    <w:rsid w:val="003B286F"/>
  </w:style>
  <w:style w:type="character" w:customStyle="1" w:styleId="mediaassettitle">
    <w:name w:val="mediaassettitle"/>
    <w:basedOn w:val="a0"/>
    <w:rsid w:val="003B286F"/>
  </w:style>
  <w:style w:type="character" w:customStyle="1" w:styleId="20">
    <w:name w:val="标题 2字符"/>
    <w:basedOn w:val="a0"/>
    <w:link w:val="2"/>
    <w:uiPriority w:val="9"/>
    <w:semiHidden/>
    <w:rsid w:val="003B286F"/>
    <w:rPr>
      <w:rFonts w:asciiTheme="majorHAnsi" w:eastAsiaTheme="majorEastAsia" w:hAnsiTheme="majorHAnsi" w:cstheme="majorBidi"/>
      <w:b/>
      <w:bCs/>
      <w:sz w:val="32"/>
      <w:szCs w:val="32"/>
    </w:rPr>
  </w:style>
  <w:style w:type="character" w:styleId="a8">
    <w:name w:val="Strong"/>
    <w:basedOn w:val="a0"/>
    <w:uiPriority w:val="22"/>
    <w:qFormat/>
    <w:rsid w:val="003B286F"/>
    <w:rPr>
      <w:b/>
      <w:bCs/>
    </w:rPr>
  </w:style>
  <w:style w:type="character" w:customStyle="1" w:styleId="inlinemath">
    <w:name w:val="inlinemath"/>
    <w:basedOn w:val="a0"/>
    <w:rsid w:val="003B286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0"/>
    <w:uiPriority w:val="9"/>
    <w:qFormat/>
    <w:rsid w:val="003B286F"/>
    <w:pPr>
      <w:widowControl/>
      <w:spacing w:before="100" w:beforeAutospacing="1" w:after="100" w:afterAutospacing="1"/>
      <w:jc w:val="left"/>
      <w:outlineLvl w:val="0"/>
    </w:pPr>
    <w:rPr>
      <w:rFonts w:ascii="Times" w:hAnsi="Times"/>
      <w:b/>
      <w:bCs/>
      <w:kern w:val="36"/>
      <w:sz w:val="48"/>
      <w:szCs w:val="48"/>
    </w:rPr>
  </w:style>
  <w:style w:type="paragraph" w:styleId="2">
    <w:name w:val="heading 2"/>
    <w:basedOn w:val="a"/>
    <w:next w:val="a"/>
    <w:link w:val="20"/>
    <w:uiPriority w:val="9"/>
    <w:semiHidden/>
    <w:unhideWhenUsed/>
    <w:qFormat/>
    <w:rsid w:val="003B286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字符"/>
    <w:basedOn w:val="a0"/>
    <w:link w:val="1"/>
    <w:uiPriority w:val="9"/>
    <w:rsid w:val="003B286F"/>
    <w:rPr>
      <w:rFonts w:ascii="Times" w:hAnsi="Times"/>
      <w:b/>
      <w:bCs/>
      <w:kern w:val="36"/>
      <w:sz w:val="48"/>
      <w:szCs w:val="48"/>
    </w:rPr>
  </w:style>
  <w:style w:type="character" w:customStyle="1" w:styleId="sectionlabel">
    <w:name w:val="sectionlabel"/>
    <w:basedOn w:val="a0"/>
    <w:rsid w:val="003B286F"/>
  </w:style>
  <w:style w:type="character" w:customStyle="1" w:styleId="headingtext">
    <w:name w:val="headingtext"/>
    <w:basedOn w:val="a0"/>
    <w:rsid w:val="003B286F"/>
  </w:style>
  <w:style w:type="paragraph" w:styleId="a3">
    <w:name w:val="Normal (Web)"/>
    <w:basedOn w:val="a"/>
    <w:uiPriority w:val="99"/>
    <w:semiHidden/>
    <w:unhideWhenUsed/>
    <w:rsid w:val="003B286F"/>
    <w:pPr>
      <w:widowControl/>
      <w:spacing w:before="100" w:beforeAutospacing="1" w:after="100" w:afterAutospacing="1"/>
      <w:jc w:val="left"/>
    </w:pPr>
    <w:rPr>
      <w:rFonts w:ascii="Times" w:hAnsi="Times" w:cs="Times New Roman"/>
      <w:kern w:val="0"/>
      <w:sz w:val="20"/>
      <w:szCs w:val="20"/>
    </w:rPr>
  </w:style>
  <w:style w:type="character" w:customStyle="1" w:styleId="apple-converted-space">
    <w:name w:val="apple-converted-space"/>
    <w:basedOn w:val="a0"/>
    <w:rsid w:val="003B286F"/>
  </w:style>
  <w:style w:type="character" w:customStyle="1" w:styleId="primaryterm">
    <w:name w:val="primaryterm"/>
    <w:basedOn w:val="a0"/>
    <w:rsid w:val="003B286F"/>
  </w:style>
  <w:style w:type="character" w:customStyle="1" w:styleId="footnote">
    <w:name w:val="footnote"/>
    <w:basedOn w:val="a0"/>
    <w:rsid w:val="003B286F"/>
  </w:style>
  <w:style w:type="character" w:styleId="a4">
    <w:name w:val="Emphasis"/>
    <w:basedOn w:val="a0"/>
    <w:uiPriority w:val="20"/>
    <w:qFormat/>
    <w:rsid w:val="003B286F"/>
    <w:rPr>
      <w:i/>
      <w:iCs/>
    </w:rPr>
  </w:style>
  <w:style w:type="paragraph" w:styleId="a5">
    <w:name w:val="Balloon Text"/>
    <w:basedOn w:val="a"/>
    <w:link w:val="a6"/>
    <w:uiPriority w:val="99"/>
    <w:semiHidden/>
    <w:unhideWhenUsed/>
    <w:rsid w:val="003B286F"/>
    <w:rPr>
      <w:rFonts w:ascii="Lucida Grande" w:hAnsi="Lucida Grande" w:cs="Lucida Grande"/>
      <w:sz w:val="18"/>
      <w:szCs w:val="18"/>
    </w:rPr>
  </w:style>
  <w:style w:type="character" w:customStyle="1" w:styleId="a6">
    <w:name w:val="批注框文本字符"/>
    <w:basedOn w:val="a0"/>
    <w:link w:val="a5"/>
    <w:uiPriority w:val="99"/>
    <w:semiHidden/>
    <w:rsid w:val="003B286F"/>
    <w:rPr>
      <w:rFonts w:ascii="Lucida Grande" w:hAnsi="Lucida Grande" w:cs="Lucida Grande"/>
      <w:sz w:val="18"/>
      <w:szCs w:val="18"/>
    </w:rPr>
  </w:style>
  <w:style w:type="character" w:styleId="a7">
    <w:name w:val="Hyperlink"/>
    <w:basedOn w:val="a0"/>
    <w:uiPriority w:val="99"/>
    <w:semiHidden/>
    <w:unhideWhenUsed/>
    <w:rsid w:val="003B286F"/>
    <w:rPr>
      <w:color w:val="0000FF"/>
      <w:u w:val="single"/>
    </w:rPr>
  </w:style>
  <w:style w:type="character" w:customStyle="1" w:styleId="medialabeltext">
    <w:name w:val="medialabeltext"/>
    <w:basedOn w:val="a0"/>
    <w:rsid w:val="003B286F"/>
  </w:style>
  <w:style w:type="character" w:customStyle="1" w:styleId="mediafigurenumber">
    <w:name w:val="mediafigurenumber"/>
    <w:basedOn w:val="a0"/>
    <w:rsid w:val="003B286F"/>
  </w:style>
  <w:style w:type="character" w:customStyle="1" w:styleId="mediaassettitle">
    <w:name w:val="mediaassettitle"/>
    <w:basedOn w:val="a0"/>
    <w:rsid w:val="003B286F"/>
  </w:style>
  <w:style w:type="character" w:customStyle="1" w:styleId="20">
    <w:name w:val="标题 2字符"/>
    <w:basedOn w:val="a0"/>
    <w:link w:val="2"/>
    <w:uiPriority w:val="9"/>
    <w:semiHidden/>
    <w:rsid w:val="003B286F"/>
    <w:rPr>
      <w:rFonts w:asciiTheme="majorHAnsi" w:eastAsiaTheme="majorEastAsia" w:hAnsiTheme="majorHAnsi" w:cstheme="majorBidi"/>
      <w:b/>
      <w:bCs/>
      <w:sz w:val="32"/>
      <w:szCs w:val="32"/>
    </w:rPr>
  </w:style>
  <w:style w:type="character" w:styleId="a8">
    <w:name w:val="Strong"/>
    <w:basedOn w:val="a0"/>
    <w:uiPriority w:val="22"/>
    <w:qFormat/>
    <w:rsid w:val="003B286F"/>
    <w:rPr>
      <w:b/>
      <w:bCs/>
    </w:rPr>
  </w:style>
  <w:style w:type="character" w:customStyle="1" w:styleId="inlinemath">
    <w:name w:val="inlinemath"/>
    <w:basedOn w:val="a0"/>
    <w:rsid w:val="003B28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322979">
      <w:bodyDiv w:val="1"/>
      <w:marLeft w:val="0"/>
      <w:marRight w:val="0"/>
      <w:marTop w:val="0"/>
      <w:marBottom w:val="0"/>
      <w:divBdr>
        <w:top w:val="none" w:sz="0" w:space="0" w:color="auto"/>
        <w:left w:val="none" w:sz="0" w:space="0" w:color="auto"/>
        <w:bottom w:val="none" w:sz="0" w:space="0" w:color="auto"/>
        <w:right w:val="none" w:sz="0" w:space="0" w:color="auto"/>
      </w:divBdr>
      <w:divsChild>
        <w:div w:id="438449982">
          <w:marLeft w:val="0"/>
          <w:marRight w:val="0"/>
          <w:marTop w:val="0"/>
          <w:marBottom w:val="180"/>
          <w:divBdr>
            <w:top w:val="none" w:sz="0" w:space="0" w:color="auto"/>
            <w:left w:val="none" w:sz="0" w:space="0" w:color="auto"/>
            <w:bottom w:val="none" w:sz="0" w:space="0" w:color="auto"/>
            <w:right w:val="none" w:sz="0" w:space="0" w:color="auto"/>
          </w:divBdr>
        </w:div>
        <w:div w:id="2014142878">
          <w:marLeft w:val="0"/>
          <w:marRight w:val="0"/>
          <w:marTop w:val="0"/>
          <w:marBottom w:val="1800"/>
          <w:divBdr>
            <w:top w:val="none" w:sz="0" w:space="0" w:color="auto"/>
            <w:left w:val="none" w:sz="0" w:space="0" w:color="auto"/>
            <w:bottom w:val="none" w:sz="0" w:space="0" w:color="auto"/>
            <w:right w:val="none" w:sz="0" w:space="0" w:color="auto"/>
          </w:divBdr>
          <w:divsChild>
            <w:div w:id="187448235">
              <w:marLeft w:val="375"/>
              <w:marRight w:val="375"/>
              <w:marTop w:val="0"/>
              <w:marBottom w:val="225"/>
              <w:divBdr>
                <w:top w:val="none" w:sz="0" w:space="0" w:color="auto"/>
                <w:left w:val="none" w:sz="0" w:space="0" w:color="auto"/>
                <w:bottom w:val="none" w:sz="0" w:space="0" w:color="auto"/>
                <w:right w:val="none" w:sz="0" w:space="0" w:color="auto"/>
              </w:divBdr>
              <w:divsChild>
                <w:div w:id="1332299794">
                  <w:marLeft w:val="0"/>
                  <w:marRight w:val="0"/>
                  <w:marTop w:val="0"/>
                  <w:marBottom w:val="0"/>
                  <w:divBdr>
                    <w:top w:val="none" w:sz="0" w:space="0" w:color="auto"/>
                    <w:left w:val="none" w:sz="0" w:space="0" w:color="auto"/>
                    <w:bottom w:val="none" w:sz="0" w:space="0" w:color="auto"/>
                    <w:right w:val="none" w:sz="0" w:space="0" w:color="auto"/>
                  </w:divBdr>
                  <w:divsChild>
                    <w:div w:id="592520393">
                      <w:marLeft w:val="0"/>
                      <w:marRight w:val="0"/>
                      <w:marTop w:val="0"/>
                      <w:marBottom w:val="0"/>
                      <w:divBdr>
                        <w:top w:val="single" w:sz="48" w:space="4" w:color="F2F2F2"/>
                        <w:left w:val="single" w:sz="48" w:space="11" w:color="F2F2F2"/>
                        <w:bottom w:val="single" w:sz="48" w:space="11" w:color="F2F2F2"/>
                        <w:right w:val="single" w:sz="48" w:space="11" w:color="F2F2F2"/>
                      </w:divBdr>
                      <w:divsChild>
                        <w:div w:id="1488092406">
                          <w:marLeft w:val="-375"/>
                          <w:marRight w:val="0"/>
                          <w:marTop w:val="0"/>
                          <w:marBottom w:val="150"/>
                          <w:divBdr>
                            <w:top w:val="none" w:sz="0" w:space="0" w:color="auto"/>
                            <w:left w:val="none" w:sz="0" w:space="0" w:color="auto"/>
                            <w:bottom w:val="none" w:sz="0" w:space="0" w:color="auto"/>
                            <w:right w:val="none" w:sz="0" w:space="0" w:color="auto"/>
                          </w:divBdr>
                        </w:div>
                        <w:div w:id="1927113313">
                          <w:marLeft w:val="0"/>
                          <w:marRight w:val="0"/>
                          <w:marTop w:val="0"/>
                          <w:marBottom w:val="225"/>
                          <w:divBdr>
                            <w:top w:val="none" w:sz="0" w:space="0" w:color="auto"/>
                            <w:left w:val="none" w:sz="0" w:space="0" w:color="auto"/>
                            <w:bottom w:val="none" w:sz="0" w:space="0" w:color="auto"/>
                            <w:right w:val="none" w:sz="0" w:space="0" w:color="auto"/>
                          </w:divBdr>
                          <w:divsChild>
                            <w:div w:id="115877153">
                              <w:marLeft w:val="150"/>
                              <w:marRight w:val="0"/>
                              <w:marTop w:val="0"/>
                              <w:marBottom w:val="0"/>
                              <w:divBdr>
                                <w:top w:val="none" w:sz="0" w:space="0" w:color="auto"/>
                                <w:left w:val="none" w:sz="0" w:space="0" w:color="auto"/>
                                <w:bottom w:val="none" w:sz="0" w:space="0" w:color="auto"/>
                                <w:right w:val="none" w:sz="0" w:space="0" w:color="auto"/>
                              </w:divBdr>
                            </w:div>
                          </w:divsChild>
                        </w:div>
                        <w:div w:id="105316816">
                          <w:marLeft w:val="0"/>
                          <w:marRight w:val="0"/>
                          <w:marTop w:val="120"/>
                          <w:marBottom w:val="225"/>
                          <w:divBdr>
                            <w:top w:val="single" w:sz="12" w:space="3" w:color="999999"/>
                            <w:left w:val="none" w:sz="0" w:space="0" w:color="auto"/>
                            <w:bottom w:val="none" w:sz="0" w:space="0" w:color="auto"/>
                            <w:right w:val="none" w:sz="0" w:space="0" w:color="auto"/>
                          </w:divBdr>
                        </w:div>
                      </w:divsChild>
                    </w:div>
                  </w:divsChild>
                </w:div>
              </w:divsChild>
            </w:div>
            <w:div w:id="414405130">
              <w:marLeft w:val="975"/>
              <w:marRight w:val="1500"/>
              <w:marTop w:val="0"/>
              <w:marBottom w:val="225"/>
              <w:divBdr>
                <w:top w:val="none" w:sz="0" w:space="0" w:color="auto"/>
                <w:left w:val="none" w:sz="0" w:space="0" w:color="auto"/>
                <w:bottom w:val="none" w:sz="0" w:space="0" w:color="auto"/>
                <w:right w:val="none" w:sz="0" w:space="0" w:color="auto"/>
              </w:divBdr>
              <w:divsChild>
                <w:div w:id="2129657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937744">
      <w:bodyDiv w:val="1"/>
      <w:marLeft w:val="0"/>
      <w:marRight w:val="0"/>
      <w:marTop w:val="0"/>
      <w:marBottom w:val="0"/>
      <w:divBdr>
        <w:top w:val="none" w:sz="0" w:space="0" w:color="auto"/>
        <w:left w:val="none" w:sz="0" w:space="0" w:color="auto"/>
        <w:bottom w:val="none" w:sz="0" w:space="0" w:color="auto"/>
        <w:right w:val="none" w:sz="0" w:space="0" w:color="auto"/>
      </w:divBdr>
      <w:divsChild>
        <w:div w:id="886601859">
          <w:marLeft w:val="0"/>
          <w:marRight w:val="0"/>
          <w:marTop w:val="0"/>
          <w:marBottom w:val="180"/>
          <w:divBdr>
            <w:top w:val="none" w:sz="0" w:space="0" w:color="auto"/>
            <w:left w:val="none" w:sz="0" w:space="0" w:color="auto"/>
            <w:bottom w:val="none" w:sz="0" w:space="0" w:color="auto"/>
            <w:right w:val="none" w:sz="0" w:space="0" w:color="auto"/>
          </w:divBdr>
        </w:div>
        <w:div w:id="517431303">
          <w:marLeft w:val="0"/>
          <w:marRight w:val="0"/>
          <w:marTop w:val="0"/>
          <w:marBottom w:val="1800"/>
          <w:divBdr>
            <w:top w:val="none" w:sz="0" w:space="0" w:color="auto"/>
            <w:left w:val="none" w:sz="0" w:space="0" w:color="auto"/>
            <w:bottom w:val="none" w:sz="0" w:space="0" w:color="auto"/>
            <w:right w:val="none" w:sz="0" w:space="0" w:color="auto"/>
          </w:divBdr>
          <w:divsChild>
            <w:div w:id="840924856">
              <w:marLeft w:val="975"/>
              <w:marRight w:val="1500"/>
              <w:marTop w:val="0"/>
              <w:marBottom w:val="225"/>
              <w:divBdr>
                <w:top w:val="none" w:sz="0" w:space="0" w:color="auto"/>
                <w:left w:val="none" w:sz="0" w:space="0" w:color="auto"/>
                <w:bottom w:val="none" w:sz="0" w:space="0" w:color="auto"/>
                <w:right w:val="none" w:sz="0" w:space="0" w:color="auto"/>
              </w:divBdr>
              <w:divsChild>
                <w:div w:id="1820339538">
                  <w:marLeft w:val="0"/>
                  <w:marRight w:val="0"/>
                  <w:marTop w:val="0"/>
                  <w:marBottom w:val="0"/>
                  <w:divBdr>
                    <w:top w:val="none" w:sz="0" w:space="0" w:color="auto"/>
                    <w:left w:val="none" w:sz="0" w:space="0" w:color="auto"/>
                    <w:bottom w:val="none" w:sz="0" w:space="0" w:color="auto"/>
                    <w:right w:val="none" w:sz="0" w:space="0" w:color="auto"/>
                  </w:divBdr>
                </w:div>
              </w:divsChild>
            </w:div>
            <w:div w:id="1703701239">
              <w:marLeft w:val="375"/>
              <w:marRight w:val="375"/>
              <w:marTop w:val="0"/>
              <w:marBottom w:val="225"/>
              <w:divBdr>
                <w:top w:val="single" w:sz="48" w:space="4" w:color="F2F2F2"/>
                <w:left w:val="single" w:sz="48" w:space="11" w:color="F2F2F2"/>
                <w:bottom w:val="single" w:sz="48" w:space="11" w:color="F2F2F2"/>
                <w:right w:val="single" w:sz="48" w:space="11" w:color="F2F2F2"/>
              </w:divBdr>
              <w:divsChild>
                <w:div w:id="395855896">
                  <w:marLeft w:val="-375"/>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604046725">
      <w:bodyDiv w:val="1"/>
      <w:marLeft w:val="0"/>
      <w:marRight w:val="0"/>
      <w:marTop w:val="0"/>
      <w:marBottom w:val="0"/>
      <w:divBdr>
        <w:top w:val="none" w:sz="0" w:space="0" w:color="auto"/>
        <w:left w:val="none" w:sz="0" w:space="0" w:color="auto"/>
        <w:bottom w:val="none" w:sz="0" w:space="0" w:color="auto"/>
        <w:right w:val="none" w:sz="0" w:space="0" w:color="auto"/>
      </w:divBdr>
    </w:div>
    <w:div w:id="804271377">
      <w:bodyDiv w:val="1"/>
      <w:marLeft w:val="0"/>
      <w:marRight w:val="0"/>
      <w:marTop w:val="0"/>
      <w:marBottom w:val="0"/>
      <w:divBdr>
        <w:top w:val="none" w:sz="0" w:space="0" w:color="auto"/>
        <w:left w:val="none" w:sz="0" w:space="0" w:color="auto"/>
        <w:bottom w:val="none" w:sz="0" w:space="0" w:color="auto"/>
        <w:right w:val="none" w:sz="0" w:space="0" w:color="auto"/>
      </w:divBdr>
      <w:divsChild>
        <w:div w:id="225654626">
          <w:marLeft w:val="0"/>
          <w:marRight w:val="0"/>
          <w:marTop w:val="0"/>
          <w:marBottom w:val="180"/>
          <w:divBdr>
            <w:top w:val="none" w:sz="0" w:space="0" w:color="auto"/>
            <w:left w:val="none" w:sz="0" w:space="0" w:color="auto"/>
            <w:bottom w:val="none" w:sz="0" w:space="0" w:color="auto"/>
            <w:right w:val="none" w:sz="0" w:space="0" w:color="auto"/>
          </w:divBdr>
        </w:div>
        <w:div w:id="1457718544">
          <w:marLeft w:val="0"/>
          <w:marRight w:val="0"/>
          <w:marTop w:val="0"/>
          <w:marBottom w:val="1800"/>
          <w:divBdr>
            <w:top w:val="none" w:sz="0" w:space="0" w:color="auto"/>
            <w:left w:val="none" w:sz="0" w:space="0" w:color="auto"/>
            <w:bottom w:val="none" w:sz="0" w:space="0" w:color="auto"/>
            <w:right w:val="none" w:sz="0" w:space="0" w:color="auto"/>
          </w:divBdr>
          <w:divsChild>
            <w:div w:id="203718260">
              <w:marLeft w:val="300"/>
              <w:marRight w:val="1050"/>
              <w:marTop w:val="180"/>
              <w:marBottom w:val="180"/>
              <w:divBdr>
                <w:top w:val="none" w:sz="0" w:space="19" w:color="auto"/>
                <w:left w:val="single" w:sz="48" w:space="15" w:color="EDEDED"/>
                <w:bottom w:val="none" w:sz="0" w:space="19" w:color="auto"/>
                <w:right w:val="none" w:sz="0" w:space="15" w:color="auto"/>
              </w:divBdr>
              <w:divsChild>
                <w:div w:id="805783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315001">
      <w:bodyDiv w:val="1"/>
      <w:marLeft w:val="0"/>
      <w:marRight w:val="0"/>
      <w:marTop w:val="0"/>
      <w:marBottom w:val="0"/>
      <w:divBdr>
        <w:top w:val="none" w:sz="0" w:space="0" w:color="auto"/>
        <w:left w:val="none" w:sz="0" w:space="0" w:color="auto"/>
        <w:bottom w:val="none" w:sz="0" w:space="0" w:color="auto"/>
        <w:right w:val="none" w:sz="0" w:space="0" w:color="auto"/>
      </w:divBdr>
      <w:divsChild>
        <w:div w:id="1693458632">
          <w:marLeft w:val="0"/>
          <w:marRight w:val="0"/>
          <w:marTop w:val="0"/>
          <w:marBottom w:val="180"/>
          <w:divBdr>
            <w:top w:val="none" w:sz="0" w:space="0" w:color="auto"/>
            <w:left w:val="none" w:sz="0" w:space="0" w:color="auto"/>
            <w:bottom w:val="none" w:sz="0" w:space="0" w:color="auto"/>
            <w:right w:val="none" w:sz="0" w:space="0" w:color="auto"/>
          </w:divBdr>
        </w:div>
        <w:div w:id="410858418">
          <w:marLeft w:val="0"/>
          <w:marRight w:val="0"/>
          <w:marTop w:val="0"/>
          <w:marBottom w:val="1800"/>
          <w:divBdr>
            <w:top w:val="none" w:sz="0" w:space="0" w:color="auto"/>
            <w:left w:val="none" w:sz="0" w:space="0" w:color="auto"/>
            <w:bottom w:val="none" w:sz="0" w:space="0" w:color="auto"/>
            <w:right w:val="none" w:sz="0" w:space="0" w:color="auto"/>
          </w:divBdr>
        </w:div>
      </w:divsChild>
    </w:div>
    <w:div w:id="1115907749">
      <w:bodyDiv w:val="1"/>
      <w:marLeft w:val="0"/>
      <w:marRight w:val="0"/>
      <w:marTop w:val="0"/>
      <w:marBottom w:val="0"/>
      <w:divBdr>
        <w:top w:val="none" w:sz="0" w:space="0" w:color="auto"/>
        <w:left w:val="none" w:sz="0" w:space="0" w:color="auto"/>
        <w:bottom w:val="none" w:sz="0" w:space="0" w:color="auto"/>
        <w:right w:val="none" w:sz="0" w:space="0" w:color="auto"/>
      </w:divBdr>
      <w:divsChild>
        <w:div w:id="976374392">
          <w:marLeft w:val="0"/>
          <w:marRight w:val="0"/>
          <w:marTop w:val="0"/>
          <w:marBottom w:val="180"/>
          <w:divBdr>
            <w:top w:val="none" w:sz="0" w:space="0" w:color="auto"/>
            <w:left w:val="none" w:sz="0" w:space="0" w:color="auto"/>
            <w:bottom w:val="none" w:sz="0" w:space="0" w:color="auto"/>
            <w:right w:val="none" w:sz="0" w:space="0" w:color="auto"/>
          </w:divBdr>
        </w:div>
        <w:div w:id="1554779876">
          <w:marLeft w:val="0"/>
          <w:marRight w:val="0"/>
          <w:marTop w:val="0"/>
          <w:marBottom w:val="1800"/>
          <w:divBdr>
            <w:top w:val="none" w:sz="0" w:space="0" w:color="auto"/>
            <w:left w:val="none" w:sz="0" w:space="0" w:color="auto"/>
            <w:bottom w:val="none" w:sz="0" w:space="0" w:color="auto"/>
            <w:right w:val="none" w:sz="0" w:space="0" w:color="auto"/>
          </w:divBdr>
        </w:div>
      </w:divsChild>
    </w:div>
    <w:div w:id="1253509101">
      <w:bodyDiv w:val="1"/>
      <w:marLeft w:val="0"/>
      <w:marRight w:val="0"/>
      <w:marTop w:val="0"/>
      <w:marBottom w:val="0"/>
      <w:divBdr>
        <w:top w:val="none" w:sz="0" w:space="0" w:color="auto"/>
        <w:left w:val="none" w:sz="0" w:space="0" w:color="auto"/>
        <w:bottom w:val="none" w:sz="0" w:space="0" w:color="auto"/>
        <w:right w:val="none" w:sz="0" w:space="0" w:color="auto"/>
      </w:divBdr>
      <w:divsChild>
        <w:div w:id="266740303">
          <w:marLeft w:val="0"/>
          <w:marRight w:val="0"/>
          <w:marTop w:val="0"/>
          <w:marBottom w:val="180"/>
          <w:divBdr>
            <w:top w:val="none" w:sz="0" w:space="0" w:color="auto"/>
            <w:left w:val="none" w:sz="0" w:space="0" w:color="auto"/>
            <w:bottom w:val="none" w:sz="0" w:space="0" w:color="auto"/>
            <w:right w:val="none" w:sz="0" w:space="0" w:color="auto"/>
          </w:divBdr>
        </w:div>
        <w:div w:id="1010177194">
          <w:marLeft w:val="0"/>
          <w:marRight w:val="0"/>
          <w:marTop w:val="0"/>
          <w:marBottom w:val="1800"/>
          <w:divBdr>
            <w:top w:val="none" w:sz="0" w:space="0" w:color="auto"/>
            <w:left w:val="none" w:sz="0" w:space="0" w:color="auto"/>
            <w:bottom w:val="none" w:sz="0" w:space="0" w:color="auto"/>
            <w:right w:val="none" w:sz="0" w:space="0" w:color="auto"/>
          </w:divBdr>
        </w:div>
      </w:divsChild>
    </w:div>
    <w:div w:id="1441560342">
      <w:bodyDiv w:val="1"/>
      <w:marLeft w:val="0"/>
      <w:marRight w:val="0"/>
      <w:marTop w:val="0"/>
      <w:marBottom w:val="0"/>
      <w:divBdr>
        <w:top w:val="none" w:sz="0" w:space="0" w:color="auto"/>
        <w:left w:val="none" w:sz="0" w:space="0" w:color="auto"/>
        <w:bottom w:val="none" w:sz="0" w:space="0" w:color="auto"/>
        <w:right w:val="none" w:sz="0" w:space="0" w:color="auto"/>
      </w:divBdr>
      <w:divsChild>
        <w:div w:id="1136678493">
          <w:marLeft w:val="0"/>
          <w:marRight w:val="0"/>
          <w:marTop w:val="0"/>
          <w:marBottom w:val="180"/>
          <w:divBdr>
            <w:top w:val="none" w:sz="0" w:space="0" w:color="auto"/>
            <w:left w:val="none" w:sz="0" w:space="0" w:color="auto"/>
            <w:bottom w:val="none" w:sz="0" w:space="0" w:color="auto"/>
            <w:right w:val="none" w:sz="0" w:space="0" w:color="auto"/>
          </w:divBdr>
        </w:div>
        <w:div w:id="782651813">
          <w:marLeft w:val="0"/>
          <w:marRight w:val="0"/>
          <w:marTop w:val="0"/>
          <w:marBottom w:val="1800"/>
          <w:divBdr>
            <w:top w:val="none" w:sz="0" w:space="0" w:color="auto"/>
            <w:left w:val="none" w:sz="0" w:space="0" w:color="auto"/>
            <w:bottom w:val="none" w:sz="0" w:space="0" w:color="auto"/>
            <w:right w:val="none" w:sz="0" w:space="0" w:color="auto"/>
          </w:divBdr>
          <w:divsChild>
            <w:div w:id="2091854482">
              <w:marLeft w:val="375"/>
              <w:marRight w:val="375"/>
              <w:marTop w:val="0"/>
              <w:marBottom w:val="225"/>
              <w:divBdr>
                <w:top w:val="none" w:sz="0" w:space="0" w:color="auto"/>
                <w:left w:val="none" w:sz="0" w:space="0" w:color="auto"/>
                <w:bottom w:val="none" w:sz="0" w:space="0" w:color="auto"/>
                <w:right w:val="none" w:sz="0" w:space="0" w:color="auto"/>
              </w:divBdr>
              <w:divsChild>
                <w:div w:id="2074350016">
                  <w:marLeft w:val="0"/>
                  <w:marRight w:val="0"/>
                  <w:marTop w:val="0"/>
                  <w:marBottom w:val="0"/>
                  <w:divBdr>
                    <w:top w:val="none" w:sz="0" w:space="0" w:color="auto"/>
                    <w:left w:val="none" w:sz="0" w:space="0" w:color="auto"/>
                    <w:bottom w:val="none" w:sz="0" w:space="0" w:color="auto"/>
                    <w:right w:val="none" w:sz="0" w:space="0" w:color="auto"/>
                  </w:divBdr>
                  <w:divsChild>
                    <w:div w:id="481384350">
                      <w:marLeft w:val="0"/>
                      <w:marRight w:val="0"/>
                      <w:marTop w:val="0"/>
                      <w:marBottom w:val="0"/>
                      <w:divBdr>
                        <w:top w:val="single" w:sz="48" w:space="4" w:color="F2F2F2"/>
                        <w:left w:val="single" w:sz="48" w:space="11" w:color="F2F2F2"/>
                        <w:bottom w:val="single" w:sz="48" w:space="11" w:color="F2F2F2"/>
                        <w:right w:val="single" w:sz="48" w:space="11" w:color="F2F2F2"/>
                      </w:divBdr>
                      <w:divsChild>
                        <w:div w:id="1452818229">
                          <w:marLeft w:val="-375"/>
                          <w:marRight w:val="0"/>
                          <w:marTop w:val="0"/>
                          <w:marBottom w:val="150"/>
                          <w:divBdr>
                            <w:top w:val="none" w:sz="0" w:space="0" w:color="auto"/>
                            <w:left w:val="none" w:sz="0" w:space="0" w:color="auto"/>
                            <w:bottom w:val="none" w:sz="0" w:space="0" w:color="auto"/>
                            <w:right w:val="none" w:sz="0" w:space="0" w:color="auto"/>
                          </w:divBdr>
                        </w:div>
                        <w:div w:id="890926082">
                          <w:marLeft w:val="0"/>
                          <w:marRight w:val="0"/>
                          <w:marTop w:val="0"/>
                          <w:marBottom w:val="225"/>
                          <w:divBdr>
                            <w:top w:val="none" w:sz="0" w:space="0" w:color="auto"/>
                            <w:left w:val="none" w:sz="0" w:space="0" w:color="auto"/>
                            <w:bottom w:val="none" w:sz="0" w:space="0" w:color="auto"/>
                            <w:right w:val="none" w:sz="0" w:space="0" w:color="auto"/>
                          </w:divBdr>
                          <w:divsChild>
                            <w:div w:id="1796831529">
                              <w:marLeft w:val="150"/>
                              <w:marRight w:val="0"/>
                              <w:marTop w:val="0"/>
                              <w:marBottom w:val="0"/>
                              <w:divBdr>
                                <w:top w:val="none" w:sz="0" w:space="0" w:color="auto"/>
                                <w:left w:val="none" w:sz="0" w:space="0" w:color="auto"/>
                                <w:bottom w:val="none" w:sz="0" w:space="0" w:color="auto"/>
                                <w:right w:val="none" w:sz="0" w:space="0" w:color="auto"/>
                              </w:divBdr>
                            </w:div>
                          </w:divsChild>
                        </w:div>
                        <w:div w:id="391122899">
                          <w:marLeft w:val="0"/>
                          <w:marRight w:val="0"/>
                          <w:marTop w:val="120"/>
                          <w:marBottom w:val="225"/>
                          <w:divBdr>
                            <w:top w:val="single" w:sz="12" w:space="3" w:color="999999"/>
                            <w:left w:val="none" w:sz="0" w:space="0" w:color="auto"/>
                            <w:bottom w:val="none" w:sz="0" w:space="0" w:color="auto"/>
                            <w:right w:val="none" w:sz="0" w:space="0" w:color="auto"/>
                          </w:divBdr>
                        </w:div>
                      </w:divsChild>
                    </w:div>
                  </w:divsChild>
                </w:div>
              </w:divsChild>
            </w:div>
          </w:divsChild>
        </w:div>
      </w:divsChild>
    </w:div>
    <w:div w:id="1542739590">
      <w:bodyDiv w:val="1"/>
      <w:marLeft w:val="0"/>
      <w:marRight w:val="0"/>
      <w:marTop w:val="0"/>
      <w:marBottom w:val="0"/>
      <w:divBdr>
        <w:top w:val="none" w:sz="0" w:space="0" w:color="auto"/>
        <w:left w:val="none" w:sz="0" w:space="0" w:color="auto"/>
        <w:bottom w:val="none" w:sz="0" w:space="0" w:color="auto"/>
        <w:right w:val="none" w:sz="0" w:space="0" w:color="auto"/>
      </w:divBdr>
      <w:divsChild>
        <w:div w:id="1221600180">
          <w:marLeft w:val="0"/>
          <w:marRight w:val="0"/>
          <w:marTop w:val="0"/>
          <w:marBottom w:val="180"/>
          <w:divBdr>
            <w:top w:val="none" w:sz="0" w:space="0" w:color="auto"/>
            <w:left w:val="none" w:sz="0" w:space="0" w:color="auto"/>
            <w:bottom w:val="none" w:sz="0" w:space="0" w:color="auto"/>
            <w:right w:val="none" w:sz="0" w:space="0" w:color="auto"/>
          </w:divBdr>
        </w:div>
        <w:div w:id="1377043318">
          <w:marLeft w:val="0"/>
          <w:marRight w:val="0"/>
          <w:marTop w:val="0"/>
          <w:marBottom w:val="1800"/>
          <w:divBdr>
            <w:top w:val="none" w:sz="0" w:space="0" w:color="auto"/>
            <w:left w:val="none" w:sz="0" w:space="0" w:color="auto"/>
            <w:bottom w:val="none" w:sz="0" w:space="0" w:color="auto"/>
            <w:right w:val="none" w:sz="0" w:space="0" w:color="auto"/>
          </w:divBdr>
        </w:div>
      </w:divsChild>
    </w:div>
    <w:div w:id="2010717688">
      <w:bodyDiv w:val="1"/>
      <w:marLeft w:val="0"/>
      <w:marRight w:val="0"/>
      <w:marTop w:val="0"/>
      <w:marBottom w:val="0"/>
      <w:divBdr>
        <w:top w:val="none" w:sz="0" w:space="0" w:color="auto"/>
        <w:left w:val="none" w:sz="0" w:space="0" w:color="auto"/>
        <w:bottom w:val="none" w:sz="0" w:space="0" w:color="auto"/>
        <w:right w:val="none" w:sz="0" w:space="0" w:color="auto"/>
      </w:divBdr>
      <w:divsChild>
        <w:div w:id="978337071">
          <w:marLeft w:val="0"/>
          <w:marRight w:val="0"/>
          <w:marTop w:val="0"/>
          <w:marBottom w:val="180"/>
          <w:divBdr>
            <w:top w:val="none" w:sz="0" w:space="0" w:color="auto"/>
            <w:left w:val="none" w:sz="0" w:space="0" w:color="auto"/>
            <w:bottom w:val="none" w:sz="0" w:space="0" w:color="auto"/>
            <w:right w:val="none" w:sz="0" w:space="0" w:color="auto"/>
          </w:divBdr>
        </w:div>
        <w:div w:id="2065982557">
          <w:marLeft w:val="0"/>
          <w:marRight w:val="0"/>
          <w:marTop w:val="0"/>
          <w:marBottom w:val="1800"/>
          <w:divBdr>
            <w:top w:val="none" w:sz="0" w:space="0" w:color="auto"/>
            <w:left w:val="none" w:sz="0" w:space="0" w:color="auto"/>
            <w:bottom w:val="none" w:sz="0" w:space="0" w:color="auto"/>
            <w:right w:val="none" w:sz="0" w:space="0" w:color="auto"/>
          </w:divBdr>
          <w:divsChild>
            <w:div w:id="2060201397">
              <w:marLeft w:val="975"/>
              <w:marRight w:val="1500"/>
              <w:marTop w:val="0"/>
              <w:marBottom w:val="225"/>
              <w:divBdr>
                <w:top w:val="none" w:sz="0" w:space="0" w:color="auto"/>
                <w:left w:val="none" w:sz="0" w:space="0" w:color="auto"/>
                <w:bottom w:val="none" w:sz="0" w:space="0" w:color="auto"/>
                <w:right w:val="none" w:sz="0" w:space="0" w:color="auto"/>
              </w:divBdr>
              <w:divsChild>
                <w:div w:id="1515606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186021">
      <w:bodyDiv w:val="1"/>
      <w:marLeft w:val="0"/>
      <w:marRight w:val="0"/>
      <w:marTop w:val="0"/>
      <w:marBottom w:val="0"/>
      <w:divBdr>
        <w:top w:val="none" w:sz="0" w:space="0" w:color="auto"/>
        <w:left w:val="none" w:sz="0" w:space="0" w:color="auto"/>
        <w:bottom w:val="none" w:sz="0" w:space="0" w:color="auto"/>
        <w:right w:val="none" w:sz="0" w:space="0" w:color="auto"/>
      </w:divBdr>
    </w:div>
    <w:div w:id="2080859633">
      <w:bodyDiv w:val="1"/>
      <w:marLeft w:val="0"/>
      <w:marRight w:val="0"/>
      <w:marTop w:val="0"/>
      <w:marBottom w:val="0"/>
      <w:divBdr>
        <w:top w:val="none" w:sz="0" w:space="0" w:color="auto"/>
        <w:left w:val="none" w:sz="0" w:space="0" w:color="auto"/>
        <w:bottom w:val="none" w:sz="0" w:space="0" w:color="auto"/>
        <w:right w:val="none" w:sz="0" w:space="0" w:color="auto"/>
      </w:divBdr>
      <w:divsChild>
        <w:div w:id="1759982783">
          <w:marLeft w:val="0"/>
          <w:marRight w:val="0"/>
          <w:marTop w:val="0"/>
          <w:marBottom w:val="180"/>
          <w:divBdr>
            <w:top w:val="none" w:sz="0" w:space="0" w:color="auto"/>
            <w:left w:val="none" w:sz="0" w:space="0" w:color="auto"/>
            <w:bottom w:val="none" w:sz="0" w:space="0" w:color="auto"/>
            <w:right w:val="none" w:sz="0" w:space="0" w:color="auto"/>
          </w:divBdr>
        </w:div>
        <w:div w:id="1369376308">
          <w:marLeft w:val="0"/>
          <w:marRight w:val="0"/>
          <w:marTop w:val="0"/>
          <w:marBottom w:val="1800"/>
          <w:divBdr>
            <w:top w:val="none" w:sz="0" w:space="0" w:color="auto"/>
            <w:left w:val="none" w:sz="0" w:space="0" w:color="auto"/>
            <w:bottom w:val="none" w:sz="0" w:space="0" w:color="auto"/>
            <w:right w:val="none" w:sz="0" w:space="0" w:color="auto"/>
          </w:divBdr>
          <w:divsChild>
            <w:div w:id="988361487">
              <w:marLeft w:val="375"/>
              <w:marRight w:val="375"/>
              <w:marTop w:val="0"/>
              <w:marBottom w:val="225"/>
              <w:divBdr>
                <w:top w:val="none" w:sz="0" w:space="0" w:color="auto"/>
                <w:left w:val="none" w:sz="0" w:space="0" w:color="auto"/>
                <w:bottom w:val="none" w:sz="0" w:space="0" w:color="auto"/>
                <w:right w:val="none" w:sz="0" w:space="0" w:color="auto"/>
              </w:divBdr>
              <w:divsChild>
                <w:div w:id="901060561">
                  <w:marLeft w:val="0"/>
                  <w:marRight w:val="0"/>
                  <w:marTop w:val="0"/>
                  <w:marBottom w:val="0"/>
                  <w:divBdr>
                    <w:top w:val="none" w:sz="0" w:space="0" w:color="auto"/>
                    <w:left w:val="none" w:sz="0" w:space="0" w:color="auto"/>
                    <w:bottom w:val="none" w:sz="0" w:space="0" w:color="auto"/>
                    <w:right w:val="none" w:sz="0" w:space="0" w:color="auto"/>
                  </w:divBdr>
                  <w:divsChild>
                    <w:div w:id="191849127">
                      <w:marLeft w:val="0"/>
                      <w:marRight w:val="0"/>
                      <w:marTop w:val="0"/>
                      <w:marBottom w:val="0"/>
                      <w:divBdr>
                        <w:top w:val="single" w:sz="48" w:space="4" w:color="F2F2F2"/>
                        <w:left w:val="single" w:sz="48" w:space="11" w:color="F2F2F2"/>
                        <w:bottom w:val="single" w:sz="48" w:space="11" w:color="F2F2F2"/>
                        <w:right w:val="single" w:sz="48" w:space="11" w:color="F2F2F2"/>
                      </w:divBdr>
                      <w:divsChild>
                        <w:div w:id="437145853">
                          <w:marLeft w:val="-375"/>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
  <w:allowPNG/>
  <w:doNotSaveAsSingleFile/>
</w:webSettings>
</file>

<file path=word/_rels/document.xml.rels><?xml version="1.0" encoding="UTF-8"?>

<Relationships xmlns="http://schemas.openxmlformats.org/package/2006/relationships">
  <Relationship Id="rId1" Type="http://schemas.openxmlformats.org/officeDocument/2006/relationships/numbering" Target="numbering.xml"/>
  <Relationship Id="rId10" Type="http://schemas.openxmlformats.org/officeDocument/2006/relationships/hyperlink" TargetMode="External" Target="javascript:///"/>
  <Relationship Id="rId11" Type="http://schemas.openxmlformats.org/officeDocument/2006/relationships/image" Target="media/image2.png"/>
  <Relationship Id="rId12" Type="http://schemas.openxmlformats.org/officeDocument/2006/relationships/hyperlink" TargetMode="External" Target="javascript:///"/>
  <Relationship Id="rId13" Type="http://schemas.openxmlformats.org/officeDocument/2006/relationships/hyperlink" TargetMode="External" Target="javascript:///"/>
  <Relationship Id="rId14" Type="http://schemas.openxmlformats.org/officeDocument/2006/relationships/hyperlink" TargetMode="External" Target="javascript:///"/>
  <Relationship Id="rId15" Type="http://schemas.openxmlformats.org/officeDocument/2006/relationships/hyperlink" TargetMode="External" Target="javascript:///"/>
  <Relationship Id="rId16" Type="http://schemas.openxmlformats.org/officeDocument/2006/relationships/hyperlink" TargetMode="External" Target="javascript:///"/>
  <Relationship Id="rId17" Type="http://schemas.openxmlformats.org/officeDocument/2006/relationships/hyperlink" TargetMode="External" Target="javascript:///"/>
  <Relationship Id="rId18" Type="http://schemas.openxmlformats.org/officeDocument/2006/relationships/hyperlink" TargetMode="External" Target="javascript:///"/>
  <Relationship Id="rId19" Type="http://schemas.openxmlformats.org/officeDocument/2006/relationships/hyperlink" TargetMode="External" Target="javascript:///"/>
  <Relationship Id="rId2" Type="http://schemas.openxmlformats.org/officeDocument/2006/relationships/styles" Target="styles.xml"/>
  <Relationship Id="rId20" Type="http://schemas.openxmlformats.org/officeDocument/2006/relationships/hyperlink" TargetMode="External" Target="javascript:///"/>
  <Relationship Id="rId21" Type="http://schemas.openxmlformats.org/officeDocument/2006/relationships/hyperlink" TargetMode="External" Target="javascript:///"/>
  <Relationship Id="rId22" Type="http://schemas.openxmlformats.org/officeDocument/2006/relationships/hyperlink" TargetMode="External" Target="javascript:///"/>
  <Relationship Id="rId23" Type="http://schemas.openxmlformats.org/officeDocument/2006/relationships/hyperlink" TargetMode="External" Target="javascript:///"/>
  <Relationship Id="rId24" Type="http://schemas.openxmlformats.org/officeDocument/2006/relationships/hyperlink" TargetMode="External" Target="javascript:///"/>
  <Relationship Id="rId25" Type="http://schemas.openxmlformats.org/officeDocument/2006/relationships/hyperlink" TargetMode="External" Target="javascript:///"/>
  <Relationship Id="rId26" Type="http://schemas.openxmlformats.org/officeDocument/2006/relationships/hyperlink" TargetMode="External" Target="javascript:///"/>
  <Relationship Id="rId27" Type="http://schemas.openxmlformats.org/officeDocument/2006/relationships/hyperlink" TargetMode="External" Target="javascript:///"/>
  <Relationship Id="rId28" Type="http://schemas.openxmlformats.org/officeDocument/2006/relationships/hyperlink" TargetMode="External" Target="javascript:///"/>
  <Relationship Id="rId29" Type="http://schemas.openxmlformats.org/officeDocument/2006/relationships/hyperlink" TargetMode="External" Target="javascript:///"/>
  <Relationship Id="rId3" Type="http://schemas.microsoft.com/office/2007/relationships/stylesWithEffects" Target="stylesWithEffects.xml"/>
  <Relationship Id="rId30" Type="http://schemas.openxmlformats.org/officeDocument/2006/relationships/hyperlink" TargetMode="External" Target="javascript:///"/>
  <Relationship Id="rId31" Type="http://schemas.openxmlformats.org/officeDocument/2006/relationships/hyperlink" TargetMode="External" Target="javascript:///"/>
  <Relationship Id="rId32" Type="http://schemas.openxmlformats.org/officeDocument/2006/relationships/hyperlink" TargetMode="External" Target="javascript:///"/>
  <Relationship Id="rId33" Type="http://schemas.openxmlformats.org/officeDocument/2006/relationships/hyperlink" TargetMode="External" Target="javascript:///"/>
  <Relationship Id="rId34" Type="http://schemas.openxmlformats.org/officeDocument/2006/relationships/hyperlink" TargetMode="External" Target="javascript:///"/>
  <Relationship Id="rId35" Type="http://schemas.openxmlformats.org/officeDocument/2006/relationships/hyperlink" TargetMode="External" Target="javascript:///"/>
  <Relationship Id="rId36" Type="http://schemas.openxmlformats.org/officeDocument/2006/relationships/hyperlink" TargetMode="External" Target="javascript:///"/>
  <Relationship Id="rId37" Type="http://schemas.openxmlformats.org/officeDocument/2006/relationships/hyperlink" TargetMode="External" Target="javascript:///"/>
  <Relationship Id="rId38" Type="http://schemas.openxmlformats.org/officeDocument/2006/relationships/hyperlink" TargetMode="External" Target="javascript:///"/>
  <Relationship Id="rId39" Type="http://schemas.openxmlformats.org/officeDocument/2006/relationships/hyperlink" TargetMode="External" Target="javascript:///"/>
  <Relationship Id="rId4" Type="http://schemas.openxmlformats.org/officeDocument/2006/relationships/settings" Target="settings.xml"/>
  <Relationship Id="rId40" Type="http://schemas.openxmlformats.org/officeDocument/2006/relationships/fontTable" Target="fontTable.xml"/>
  <Relationship Id="rId41" Type="http://schemas.openxmlformats.org/officeDocument/2006/relationships/theme" Target="theme/theme1.xml"/>
  <Relationship Id="rId5" Type="http://schemas.openxmlformats.org/officeDocument/2006/relationships/webSettings" Target="webSettings.xml"/>
  <Relationship Id="rId6" Type="http://schemas.openxmlformats.org/officeDocument/2006/relationships/hyperlink" TargetMode="External" Target="javascript:///"/>
  <Relationship Id="rId7" Type="http://schemas.openxmlformats.org/officeDocument/2006/relationships/image" Target="media/image1.png"/>
  <Relationship Id="rId8" Type="http://schemas.openxmlformats.org/officeDocument/2006/relationships/hyperlink" TargetMode="External" Target="javascript:///"/>
  <Relationship Id="rId9" Type="http://schemas.openxmlformats.org/officeDocument/2006/relationships/hyperlink" TargetMode="External" Target="javascript:///"/>
</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Pages>18</Pages>
  <Words>5031</Words>
  <Characters>28680</Characters>
  <Application/>
  <DocSecurity>0</DocSecurity>
  <Lines>239</Lines>
  <Paragraphs>67</Paragraphs>
  <ScaleCrop>false</ScaleCrop>
  <Company/>
  <LinksUpToDate>false</LinksUpToDate>
  <CharactersWithSpaces>33644</CharactersWithSpaces>
  <SharedDoc>false</SharedDoc>
  <HyperlinksChanged>false</HyperlinksChanged>
  <AppVersion>14.0000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