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5E14" w:rsidRPr="00586886" w:rsidRDefault="006D4E15">
      <w:pPr>
        <w:rPr>
          <w:rFonts w:ascii="Times New Roman" w:hAnsi="Times New Roman" w:cs="Times New Roman"/>
          <w:sz w:val="22"/>
          <w:szCs w:val="22"/>
        </w:rPr>
      </w:pPr>
      <w:bookmarkStart w:id="0" w:name="_GoBack"/>
      <w:r w:rsidRPr="00586886">
        <w:rPr>
          <w:rFonts w:ascii="Times New Roman" w:hAnsi="Times New Roman" w:cs="Times New Roman"/>
          <w:sz w:val="22"/>
          <w:szCs w:val="22"/>
        </w:rPr>
        <w:t>2-0</w:t>
      </w:r>
    </w:p>
    <w:p w:rsidR="006D4E15" w:rsidRPr="00586886" w:rsidRDefault="006D4E15" w:rsidP="006D4E15">
      <w:pPr>
        <w:widowControl/>
        <w:shd w:val="clear" w:color="auto" w:fill="FFFFFF"/>
        <w:spacing w:before="180" w:line="486" w:lineRule="atLeast"/>
        <w:ind w:left="975"/>
        <w:jc w:val="left"/>
        <w:outlineLvl w:val="0"/>
        <w:rPr>
          <w:rFonts w:ascii="Times New Roman" w:eastAsia="Times New Roman" w:hAnsi="Times New Roman" w:cs="Times New Roman"/>
          <w:color w:val="B6D846"/>
          <w:kern w:val="36"/>
          <w:sz w:val="22"/>
          <w:szCs w:val="22"/>
        </w:rPr>
      </w:pPr>
      <w:r w:rsidRPr="00586886">
        <w:rPr>
          <w:rFonts w:ascii="Times New Roman" w:eastAsia="Times New Roman" w:hAnsi="Times New Roman" w:cs="Times New Roman"/>
          <w:color w:val="B6D846"/>
          <w:kern w:val="36"/>
          <w:sz w:val="22"/>
          <w:szCs w:val="22"/>
        </w:rPr>
        <w:t>Chapter Introduction</w:t>
      </w:r>
    </w:p>
    <w:p w:rsidR="006D4E15" w:rsidRPr="00586886" w:rsidRDefault="006D4E15" w:rsidP="006D4E15">
      <w:pPr>
        <w:widowControl/>
        <w:shd w:val="clear" w:color="auto" w:fill="FFFFFF"/>
        <w:spacing w:before="180" w:line="486" w:lineRule="atLeast"/>
        <w:ind w:left="975"/>
        <w:jc w:val="left"/>
        <w:outlineLvl w:val="0"/>
        <w:rPr>
          <w:rFonts w:ascii="Times New Roman" w:eastAsia="Times New Roman" w:hAnsi="Times New Roman" w:cs="Times New Roman"/>
          <w:color w:val="B6D846"/>
          <w:kern w:val="36"/>
          <w:sz w:val="22"/>
          <w:szCs w:val="22"/>
        </w:rPr>
      </w:pPr>
      <w:r w:rsidRPr="00586886">
        <w:rPr>
          <w:rFonts w:ascii="Times New Roman" w:hAnsi="Times New Roman" w:cs="Times New Roman"/>
          <w:color w:val="666666"/>
          <w:kern w:val="0"/>
          <w:sz w:val="22"/>
          <w:szCs w:val="22"/>
        </w:rPr>
        <w:t>History shows that a strong financial system is a necessary ingredient for a growing and prosperous economy. Companies raising capital to finance capital expenditures and investors saving to accumulate funds for future use require well-functioning financial markets and institutions.</w:t>
      </w:r>
    </w:p>
    <w:p w:rsidR="006D4E15" w:rsidRPr="00586886" w:rsidRDefault="006D4E15" w:rsidP="006D4E15">
      <w:pPr>
        <w:widowControl/>
        <w:shd w:val="clear" w:color="auto" w:fill="FFFFFF"/>
        <w:spacing w:after="225"/>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Over the past few decades, changing technology and improving communications have increased cross-border transactions and expanded the scope and efficiency of the global financial system. Companies routinely raise funds throughout the world to finance projects all around the globe. Likewise, with the click of a mouse an individual investor in Pittsburgh can deposit funds in a European bank or purchase a mutual fund that invests in Chinese securities.</w:t>
      </w:r>
    </w:p>
    <w:p w:rsidR="006D4E15" w:rsidRPr="00586886" w:rsidRDefault="006D4E15" w:rsidP="006D4E15">
      <w:pPr>
        <w:widowControl/>
        <w:shd w:val="clear" w:color="auto" w:fill="FFFFFF"/>
        <w:spacing w:after="225"/>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These innovations helped spur global economic growth by providing capital to an increasing number of individuals throughout the world. Along the way, the financial industry attracted a lot of talented people who created, marketed, and traded a large number of new financial products. However, despite their benefits many of these same factors led to excesses that culminated in the financial crisis of 2007 and 2008.</w:t>
      </w:r>
    </w:p>
    <w:p w:rsidR="006D4E15" w:rsidRPr="00586886" w:rsidRDefault="006D4E15" w:rsidP="006D4E15">
      <w:pPr>
        <w:widowControl/>
        <w:shd w:val="clear" w:color="auto" w:fill="FFFFFF"/>
        <w:spacing w:after="225"/>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 xml:space="preserve">In the aftermath of the crisis, the financial sector is slowly recovering, but its effects continue to linger. The crisis also reaffirmed how changes in the value of financial assets can quickly spill over and affect other parts of the economy. For example, a 2014 article </w:t>
      </w:r>
      <w:proofErr w:type="spellStart"/>
      <w:r w:rsidRPr="00586886">
        <w:rPr>
          <w:rFonts w:ascii="Times New Roman" w:hAnsi="Times New Roman" w:cs="Times New Roman"/>
          <w:color w:val="666666"/>
          <w:kern w:val="0"/>
          <w:sz w:val="22"/>
          <w:szCs w:val="22"/>
        </w:rPr>
        <w:t>in</w:t>
      </w:r>
      <w:r w:rsidRPr="00586886">
        <w:rPr>
          <w:rFonts w:ascii="Times New Roman" w:hAnsi="Times New Roman" w:cs="Times New Roman"/>
          <w:i/>
          <w:iCs/>
          <w:color w:val="666666"/>
          <w:kern w:val="0"/>
          <w:sz w:val="22"/>
          <w:szCs w:val="22"/>
        </w:rPr>
        <w:t>The</w:t>
      </w:r>
      <w:proofErr w:type="spellEnd"/>
      <w:r w:rsidRPr="00586886">
        <w:rPr>
          <w:rFonts w:ascii="Times New Roman" w:hAnsi="Times New Roman" w:cs="Times New Roman"/>
          <w:i/>
          <w:iCs/>
          <w:color w:val="666666"/>
          <w:kern w:val="0"/>
          <w:sz w:val="22"/>
          <w:szCs w:val="22"/>
        </w:rPr>
        <w:t xml:space="preserve"> Wall Street Journal</w:t>
      </w:r>
      <w:r w:rsidRPr="00586886">
        <w:rPr>
          <w:rFonts w:ascii="Times New Roman" w:hAnsi="Times New Roman" w:cs="Times New Roman"/>
          <w:color w:val="666666"/>
          <w:kern w:val="0"/>
          <w:sz w:val="22"/>
          <w:szCs w:val="22"/>
        </w:rPr>
        <w:t> described how a dramatic drop in many of the leading hot tech stocks (Facebook, King Digital Entertainment—the maker of Candy Crush Saga, Netflix, Yelp, and Twitter) suddenly made it more difficult for new start-ups to raise money in the initial public offering (IPO) market. A year later in early 2015, at least two of the stocks (Netflix and Facebook) were showing renewed signs of life.</w:t>
      </w:r>
      <w:bookmarkStart w:id="1" w:name="PageEnd_26"/>
      <w:bookmarkEnd w:id="1"/>
    </w:p>
    <w:p w:rsidR="006D4E15" w:rsidRPr="00586886" w:rsidRDefault="006D4E15" w:rsidP="006D4E15">
      <w:pPr>
        <w:widowControl/>
        <w:shd w:val="clear" w:color="auto" w:fill="FFFFFF"/>
        <w:spacing w:after="225"/>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 xml:space="preserve">Moreover, there are signs that both the overall economy and the IPO market are beginning to rebound. For example, in January 2015 the burger chain Shake Shack had a stronger than expected IPO, and clients from Goldman Sachs Group put $1.6 billion into </w:t>
      </w:r>
      <w:proofErr w:type="spellStart"/>
      <w:r w:rsidRPr="00586886">
        <w:rPr>
          <w:rFonts w:ascii="Times New Roman" w:hAnsi="Times New Roman" w:cs="Times New Roman"/>
          <w:color w:val="666666"/>
          <w:kern w:val="0"/>
          <w:sz w:val="22"/>
          <w:szCs w:val="22"/>
        </w:rPr>
        <w:t>Uber</w:t>
      </w:r>
      <w:proofErr w:type="spellEnd"/>
      <w:r w:rsidRPr="00586886">
        <w:rPr>
          <w:rFonts w:ascii="Times New Roman" w:hAnsi="Times New Roman" w:cs="Times New Roman"/>
          <w:color w:val="666666"/>
          <w:kern w:val="0"/>
          <w:sz w:val="22"/>
          <w:szCs w:val="22"/>
        </w:rPr>
        <w:t xml:space="preserve">, a mobile-app-based transportation network. But </w:t>
      </w:r>
      <w:r w:rsidRPr="00586886">
        <w:rPr>
          <w:rFonts w:ascii="Times New Roman" w:hAnsi="Times New Roman" w:cs="Times New Roman"/>
          <w:color w:val="666666"/>
          <w:kern w:val="0"/>
          <w:sz w:val="22"/>
          <w:szCs w:val="22"/>
        </w:rPr>
        <w:lastRenderedPageBreak/>
        <w:t xml:space="preserve">arguably the most dramatic event was when the Chinese online retailer </w:t>
      </w:r>
      <w:proofErr w:type="spellStart"/>
      <w:r w:rsidRPr="00586886">
        <w:rPr>
          <w:rFonts w:ascii="Times New Roman" w:hAnsi="Times New Roman" w:cs="Times New Roman"/>
          <w:color w:val="666666"/>
          <w:kern w:val="0"/>
          <w:sz w:val="22"/>
          <w:szCs w:val="22"/>
        </w:rPr>
        <w:t>Alibaba</w:t>
      </w:r>
      <w:proofErr w:type="spellEnd"/>
      <w:r w:rsidRPr="00586886">
        <w:rPr>
          <w:rFonts w:ascii="Times New Roman" w:hAnsi="Times New Roman" w:cs="Times New Roman"/>
          <w:color w:val="666666"/>
          <w:kern w:val="0"/>
          <w:sz w:val="22"/>
          <w:szCs w:val="22"/>
        </w:rPr>
        <w:t xml:space="preserve"> raised $25 billion in September 2014. This turned out to be the largest global IPO in history.</w:t>
      </w:r>
    </w:p>
    <w:p w:rsidR="006D4E15" w:rsidRPr="00586886" w:rsidRDefault="006D4E15" w:rsidP="006D4E15">
      <w:pPr>
        <w:widowControl/>
        <w:shd w:val="clear" w:color="auto" w:fill="FFFFFF"/>
        <w:spacing w:after="225"/>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These recent events notwithstanding, managers and investors don’t operate in a vacuum—they make decisions within a large and complex financial environment. This environment includes financial markets and institutions, tax and regulatory policies, and the state of the economy. The environment both determines the available financial alternatives and affects the outcome of various decisions. Thus, it is crucial that investors and financial managers have a good understanding of the environment in which they operate.</w:t>
      </w:r>
    </w:p>
    <w:p w:rsidR="006D4E15" w:rsidRPr="00586886" w:rsidRDefault="006D4E15" w:rsidP="006D4E15">
      <w:pPr>
        <w:widowControl/>
        <w:shd w:val="clear" w:color="auto" w:fill="FFFFFF"/>
        <w:spacing w:line="486" w:lineRule="atLeast"/>
        <w:jc w:val="left"/>
        <w:rPr>
          <w:rFonts w:ascii="Times New Roman" w:eastAsia="Times New Roman" w:hAnsi="Times New Roman" w:cs="Times New Roman"/>
          <w:color w:val="666666"/>
          <w:kern w:val="0"/>
          <w:sz w:val="22"/>
          <w:szCs w:val="22"/>
        </w:rPr>
      </w:pPr>
      <w:r w:rsidRPr="00586886">
        <w:rPr>
          <w:rFonts w:ascii="Times New Roman" w:eastAsia="Times New Roman" w:hAnsi="Times New Roman" w:cs="Times New Roman"/>
          <w:color w:val="666666"/>
          <w:kern w:val="0"/>
          <w:sz w:val="22"/>
          <w:szCs w:val="22"/>
        </w:rPr>
        <w:t>Sources: Michael J. De La Merced, “Shake Shack More Than Doubles Its I.P.O. Price in Market Debut,” </w:t>
      </w:r>
      <w:r w:rsidRPr="00586886">
        <w:rPr>
          <w:rFonts w:ascii="Times New Roman" w:eastAsia="Times New Roman" w:hAnsi="Times New Roman" w:cs="Times New Roman"/>
          <w:i/>
          <w:iCs/>
          <w:color w:val="666666"/>
          <w:kern w:val="0"/>
          <w:sz w:val="22"/>
          <w:szCs w:val="22"/>
        </w:rPr>
        <w:t>The New York Times</w:t>
      </w:r>
      <w:r w:rsidRPr="00586886">
        <w:rPr>
          <w:rFonts w:ascii="Times New Roman" w:eastAsia="Times New Roman" w:hAnsi="Times New Roman" w:cs="Times New Roman"/>
          <w:color w:val="666666"/>
          <w:kern w:val="0"/>
          <w:sz w:val="22"/>
          <w:szCs w:val="22"/>
        </w:rPr>
        <w:t> ( </w:t>
      </w:r>
      <w:bookmarkStart w:id="2" w:name="DIEWAC491778804"/>
      <w:r w:rsidRPr="00586886">
        <w:rPr>
          <w:rFonts w:ascii="Times New Roman" w:eastAsia="Times New Roman" w:hAnsi="Times New Roman" w:cs="Times New Roman"/>
          <w:color w:val="666666"/>
          <w:kern w:val="0"/>
          <w:sz w:val="22"/>
          <w:szCs w:val="22"/>
        </w:rPr>
        <w:fldChar w:fldCharType="begin"/>
      </w:r>
      <w:r w:rsidRPr="00586886">
        <w:rPr>
          <w:rFonts w:ascii="Times New Roman" w:eastAsia="Times New Roman" w:hAnsi="Times New Roman" w:cs="Times New Roman"/>
          <w:color w:val="666666"/>
          <w:kern w:val="0"/>
          <w:sz w:val="22"/>
          <w:szCs w:val="22"/>
        </w:rPr>
        <w:instrText xml:space="preserve"> HYPERLINK "http://dealbook.nytimes.com/" \t "_blank" </w:instrText>
      </w:r>
      <w:r w:rsidRPr="00586886">
        <w:rPr>
          <w:rFonts w:ascii="Times New Roman" w:eastAsia="Times New Roman" w:hAnsi="Times New Roman" w:cs="Times New Roman"/>
          <w:color w:val="666666"/>
          <w:kern w:val="0"/>
          <w:sz w:val="22"/>
          <w:szCs w:val="22"/>
        </w:rPr>
      </w:r>
      <w:r w:rsidRPr="00586886">
        <w:rPr>
          <w:rFonts w:ascii="Times New Roman" w:eastAsia="Times New Roman" w:hAnsi="Times New Roman" w:cs="Times New Roman"/>
          <w:color w:val="666666"/>
          <w:kern w:val="0"/>
          <w:sz w:val="22"/>
          <w:szCs w:val="22"/>
        </w:rPr>
        <w:fldChar w:fldCharType="separate"/>
      </w:r>
      <w:r w:rsidRPr="00586886">
        <w:rPr>
          <w:rFonts w:ascii="Times New Roman" w:eastAsia="Times New Roman" w:hAnsi="Times New Roman" w:cs="Times New Roman"/>
          <w:color w:val="008CD2"/>
          <w:kern w:val="0"/>
          <w:sz w:val="22"/>
          <w:szCs w:val="22"/>
          <w:u w:val="single"/>
        </w:rPr>
        <w:t>http://dealbook.nytimes.com</w:t>
      </w:r>
      <w:r w:rsidRPr="00586886">
        <w:rPr>
          <w:rFonts w:ascii="Times New Roman" w:eastAsia="Times New Roman" w:hAnsi="Times New Roman" w:cs="Times New Roman"/>
          <w:color w:val="666666"/>
          <w:kern w:val="0"/>
          <w:sz w:val="22"/>
          <w:szCs w:val="22"/>
        </w:rPr>
        <w:fldChar w:fldCharType="end"/>
      </w:r>
      <w:bookmarkEnd w:id="2"/>
      <w:r w:rsidRPr="00586886">
        <w:rPr>
          <w:rFonts w:ascii="Times New Roman" w:eastAsia="Times New Roman" w:hAnsi="Times New Roman" w:cs="Times New Roman"/>
          <w:color w:val="666666"/>
          <w:kern w:val="0"/>
          <w:sz w:val="22"/>
          <w:szCs w:val="22"/>
        </w:rPr>
        <w:t>), January 30, 2015; Mike Isaac and Michael J. De La Merced, “</w:t>
      </w:r>
      <w:proofErr w:type="spellStart"/>
      <w:r w:rsidRPr="00586886">
        <w:rPr>
          <w:rFonts w:ascii="Times New Roman" w:eastAsia="Times New Roman" w:hAnsi="Times New Roman" w:cs="Times New Roman"/>
          <w:color w:val="666666"/>
          <w:kern w:val="0"/>
          <w:sz w:val="22"/>
          <w:szCs w:val="22"/>
        </w:rPr>
        <w:t>Uber</w:t>
      </w:r>
      <w:proofErr w:type="spellEnd"/>
      <w:r w:rsidRPr="00586886">
        <w:rPr>
          <w:rFonts w:ascii="Times New Roman" w:eastAsia="Times New Roman" w:hAnsi="Times New Roman" w:cs="Times New Roman"/>
          <w:color w:val="666666"/>
          <w:kern w:val="0"/>
          <w:sz w:val="22"/>
          <w:szCs w:val="22"/>
        </w:rPr>
        <w:t xml:space="preserve"> Closes $1.6 Billion in Financing,” </w:t>
      </w:r>
      <w:r w:rsidRPr="00586886">
        <w:rPr>
          <w:rFonts w:ascii="Times New Roman" w:eastAsia="Times New Roman" w:hAnsi="Times New Roman" w:cs="Times New Roman"/>
          <w:i/>
          <w:iCs/>
          <w:color w:val="666666"/>
          <w:kern w:val="0"/>
          <w:sz w:val="22"/>
          <w:szCs w:val="22"/>
        </w:rPr>
        <w:t>The New York Times</w:t>
      </w:r>
      <w:r w:rsidRPr="00586886">
        <w:rPr>
          <w:rFonts w:ascii="Times New Roman" w:eastAsia="Times New Roman" w:hAnsi="Times New Roman" w:cs="Times New Roman"/>
          <w:color w:val="666666"/>
          <w:kern w:val="0"/>
          <w:sz w:val="22"/>
          <w:szCs w:val="22"/>
        </w:rPr>
        <w:t> ( </w:t>
      </w:r>
      <w:bookmarkStart w:id="3" w:name="DIEWAC491778805"/>
      <w:r w:rsidRPr="00586886">
        <w:rPr>
          <w:rFonts w:ascii="Times New Roman" w:eastAsia="Times New Roman" w:hAnsi="Times New Roman" w:cs="Times New Roman"/>
          <w:color w:val="666666"/>
          <w:kern w:val="0"/>
          <w:sz w:val="22"/>
          <w:szCs w:val="22"/>
        </w:rPr>
        <w:fldChar w:fldCharType="begin"/>
      </w:r>
      <w:r w:rsidRPr="00586886">
        <w:rPr>
          <w:rFonts w:ascii="Times New Roman" w:eastAsia="Times New Roman" w:hAnsi="Times New Roman" w:cs="Times New Roman"/>
          <w:color w:val="666666"/>
          <w:kern w:val="0"/>
          <w:sz w:val="22"/>
          <w:szCs w:val="22"/>
        </w:rPr>
        <w:instrText xml:space="preserve"> HYPERLINK "http://dealbook.nytimes.com/" \t "_blank" </w:instrText>
      </w:r>
      <w:r w:rsidRPr="00586886">
        <w:rPr>
          <w:rFonts w:ascii="Times New Roman" w:eastAsia="Times New Roman" w:hAnsi="Times New Roman" w:cs="Times New Roman"/>
          <w:color w:val="666666"/>
          <w:kern w:val="0"/>
          <w:sz w:val="22"/>
          <w:szCs w:val="22"/>
        </w:rPr>
      </w:r>
      <w:r w:rsidRPr="00586886">
        <w:rPr>
          <w:rFonts w:ascii="Times New Roman" w:eastAsia="Times New Roman" w:hAnsi="Times New Roman" w:cs="Times New Roman"/>
          <w:color w:val="666666"/>
          <w:kern w:val="0"/>
          <w:sz w:val="22"/>
          <w:szCs w:val="22"/>
        </w:rPr>
        <w:fldChar w:fldCharType="separate"/>
      </w:r>
      <w:r w:rsidRPr="00586886">
        <w:rPr>
          <w:rFonts w:ascii="Times New Roman" w:eastAsia="Times New Roman" w:hAnsi="Times New Roman" w:cs="Times New Roman"/>
          <w:color w:val="008CD2"/>
          <w:kern w:val="0"/>
          <w:sz w:val="22"/>
          <w:szCs w:val="22"/>
          <w:u w:val="single"/>
        </w:rPr>
        <w:t>http://dealbook.nytimes.com</w:t>
      </w:r>
      <w:r w:rsidRPr="00586886">
        <w:rPr>
          <w:rFonts w:ascii="Times New Roman" w:eastAsia="Times New Roman" w:hAnsi="Times New Roman" w:cs="Times New Roman"/>
          <w:color w:val="666666"/>
          <w:kern w:val="0"/>
          <w:sz w:val="22"/>
          <w:szCs w:val="22"/>
        </w:rPr>
        <w:fldChar w:fldCharType="end"/>
      </w:r>
      <w:bookmarkEnd w:id="3"/>
      <w:r w:rsidRPr="00586886">
        <w:rPr>
          <w:rFonts w:ascii="Times New Roman" w:eastAsia="Times New Roman" w:hAnsi="Times New Roman" w:cs="Times New Roman"/>
          <w:color w:val="666666"/>
          <w:kern w:val="0"/>
          <w:sz w:val="22"/>
          <w:szCs w:val="22"/>
        </w:rPr>
        <w:t>), January 21, 2015; and Ryan Mac, “</w:t>
      </w:r>
      <w:proofErr w:type="spellStart"/>
      <w:r w:rsidRPr="00586886">
        <w:rPr>
          <w:rFonts w:ascii="Times New Roman" w:eastAsia="Times New Roman" w:hAnsi="Times New Roman" w:cs="Times New Roman"/>
          <w:color w:val="666666"/>
          <w:kern w:val="0"/>
          <w:sz w:val="22"/>
          <w:szCs w:val="22"/>
        </w:rPr>
        <w:t>Alibaba</w:t>
      </w:r>
      <w:proofErr w:type="spellEnd"/>
      <w:r w:rsidRPr="00586886">
        <w:rPr>
          <w:rFonts w:ascii="Times New Roman" w:eastAsia="Times New Roman" w:hAnsi="Times New Roman" w:cs="Times New Roman"/>
          <w:color w:val="666666"/>
          <w:kern w:val="0"/>
          <w:sz w:val="22"/>
          <w:szCs w:val="22"/>
        </w:rPr>
        <w:t xml:space="preserve"> Claims Title for Largest Global IPO Ever with Extra Share Sales,” </w:t>
      </w:r>
      <w:r w:rsidRPr="00586886">
        <w:rPr>
          <w:rFonts w:ascii="Times New Roman" w:eastAsia="Times New Roman" w:hAnsi="Times New Roman" w:cs="Times New Roman"/>
          <w:i/>
          <w:iCs/>
          <w:color w:val="666666"/>
          <w:kern w:val="0"/>
          <w:sz w:val="22"/>
          <w:szCs w:val="22"/>
        </w:rPr>
        <w:t>Forbes</w:t>
      </w:r>
      <w:r w:rsidRPr="00586886">
        <w:rPr>
          <w:rFonts w:ascii="Times New Roman" w:eastAsia="Times New Roman" w:hAnsi="Times New Roman" w:cs="Times New Roman"/>
          <w:color w:val="666666"/>
          <w:kern w:val="0"/>
          <w:sz w:val="22"/>
          <w:szCs w:val="22"/>
        </w:rPr>
        <w:t> ( </w:t>
      </w:r>
      <w:bookmarkStart w:id="4" w:name="DIEWAC491778806"/>
      <w:r w:rsidRPr="00586886">
        <w:rPr>
          <w:rFonts w:ascii="Times New Roman" w:eastAsia="Times New Roman" w:hAnsi="Times New Roman" w:cs="Times New Roman"/>
          <w:color w:val="666666"/>
          <w:kern w:val="0"/>
          <w:sz w:val="22"/>
          <w:szCs w:val="22"/>
        </w:rPr>
        <w:fldChar w:fldCharType="begin"/>
      </w:r>
      <w:r w:rsidRPr="00586886">
        <w:rPr>
          <w:rFonts w:ascii="Times New Roman" w:eastAsia="Times New Roman" w:hAnsi="Times New Roman" w:cs="Times New Roman"/>
          <w:color w:val="666666"/>
          <w:kern w:val="0"/>
          <w:sz w:val="22"/>
          <w:szCs w:val="22"/>
        </w:rPr>
        <w:instrText xml:space="preserve"> HYPERLINK "http://www.forbes.com/" \t "_blank" </w:instrText>
      </w:r>
      <w:r w:rsidRPr="00586886">
        <w:rPr>
          <w:rFonts w:ascii="Times New Roman" w:eastAsia="Times New Roman" w:hAnsi="Times New Roman" w:cs="Times New Roman"/>
          <w:color w:val="666666"/>
          <w:kern w:val="0"/>
          <w:sz w:val="22"/>
          <w:szCs w:val="22"/>
        </w:rPr>
      </w:r>
      <w:r w:rsidRPr="00586886">
        <w:rPr>
          <w:rFonts w:ascii="Times New Roman" w:eastAsia="Times New Roman" w:hAnsi="Times New Roman" w:cs="Times New Roman"/>
          <w:color w:val="666666"/>
          <w:kern w:val="0"/>
          <w:sz w:val="22"/>
          <w:szCs w:val="22"/>
        </w:rPr>
        <w:fldChar w:fldCharType="separate"/>
      </w:r>
      <w:r w:rsidRPr="00586886">
        <w:rPr>
          <w:rFonts w:ascii="Times New Roman" w:eastAsia="Times New Roman" w:hAnsi="Times New Roman" w:cs="Times New Roman"/>
          <w:color w:val="008CD2"/>
          <w:kern w:val="0"/>
          <w:sz w:val="22"/>
          <w:szCs w:val="22"/>
          <w:u w:val="single"/>
        </w:rPr>
        <w:t>www.forbes.com</w:t>
      </w:r>
      <w:r w:rsidRPr="00586886">
        <w:rPr>
          <w:rFonts w:ascii="Times New Roman" w:eastAsia="Times New Roman" w:hAnsi="Times New Roman" w:cs="Times New Roman"/>
          <w:color w:val="666666"/>
          <w:kern w:val="0"/>
          <w:sz w:val="22"/>
          <w:szCs w:val="22"/>
        </w:rPr>
        <w:fldChar w:fldCharType="end"/>
      </w:r>
      <w:bookmarkEnd w:id="4"/>
      <w:r w:rsidRPr="00586886">
        <w:rPr>
          <w:rFonts w:ascii="Times New Roman" w:eastAsia="Times New Roman" w:hAnsi="Times New Roman" w:cs="Times New Roman"/>
          <w:color w:val="666666"/>
          <w:kern w:val="0"/>
          <w:sz w:val="22"/>
          <w:szCs w:val="22"/>
        </w:rPr>
        <w:t>), September 22, 2014.</w:t>
      </w:r>
    </w:p>
    <w:p w:rsidR="006D4E15" w:rsidRPr="00586886" w:rsidRDefault="006D4E15" w:rsidP="006D4E15">
      <w:pPr>
        <w:widowControl/>
        <w:shd w:val="clear" w:color="auto" w:fill="FFFFFF"/>
        <w:spacing w:after="75"/>
        <w:ind w:left="1950" w:right="3000"/>
        <w:jc w:val="left"/>
        <w:outlineLvl w:val="2"/>
        <w:rPr>
          <w:rFonts w:ascii="Times New Roman" w:eastAsia="Times New Roman" w:hAnsi="Times New Roman" w:cs="Times New Roman"/>
          <w:b/>
          <w:bCs/>
          <w:color w:val="B03F3B"/>
          <w:kern w:val="0"/>
          <w:sz w:val="22"/>
          <w:szCs w:val="22"/>
        </w:rPr>
      </w:pPr>
      <w:r w:rsidRPr="00586886">
        <w:rPr>
          <w:rFonts w:ascii="Times New Roman" w:eastAsia="Times New Roman" w:hAnsi="Times New Roman" w:cs="Times New Roman"/>
          <w:b/>
          <w:bCs/>
          <w:color w:val="B03F3B"/>
          <w:kern w:val="0"/>
          <w:sz w:val="22"/>
          <w:szCs w:val="22"/>
        </w:rPr>
        <w:t>Putting Things in Perspective</w:t>
      </w:r>
    </w:p>
    <w:p w:rsidR="006D4E15" w:rsidRPr="00586886" w:rsidRDefault="006D4E15" w:rsidP="006D4E15">
      <w:pPr>
        <w:widowControl/>
        <w:shd w:val="clear" w:color="auto" w:fill="FFFFFF"/>
        <w:spacing w:after="225"/>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In </w:t>
      </w:r>
      <w:hyperlink r:id="rId6" w:history="1">
        <w:r w:rsidRPr="00586886">
          <w:rPr>
            <w:rFonts w:ascii="Times New Roman" w:hAnsi="Times New Roman" w:cs="Times New Roman"/>
            <w:color w:val="008CD2"/>
            <w:kern w:val="0"/>
            <w:sz w:val="22"/>
            <w:szCs w:val="22"/>
            <w:u w:val="single"/>
          </w:rPr>
          <w:t>Chapter 1</w:t>
        </w:r>
      </w:hyperlink>
      <w:r w:rsidRPr="00586886">
        <w:rPr>
          <w:rFonts w:ascii="Times New Roman" w:hAnsi="Times New Roman" w:cs="Times New Roman"/>
          <w:color w:val="666666"/>
          <w:kern w:val="0"/>
          <w:sz w:val="22"/>
          <w:szCs w:val="22"/>
        </w:rPr>
        <w:t>, we saw that a firm’s primary financial goal is to maximize long-run shareholder value. Shareholder value is ultimately determined in the financial markets; so if financial managers are to make good decisions, they must understand how these markets operate. In addition, individuals make personal investment decisions; so they too need to know something about financial markets and the institutions that operate in those markets. Therefore, in this chapter, we describe the markets where capital is raised, securities are traded, and stock prices are established and the institutions that operate in these markets. We will also discuss the concept of market efficiency and demonstrate how efficient markets help promote the effective allocation of capital.</w:t>
      </w:r>
    </w:p>
    <w:p w:rsidR="006D4E15" w:rsidRPr="00586886" w:rsidRDefault="006D4E15" w:rsidP="006D4E15">
      <w:pPr>
        <w:widowControl/>
        <w:jc w:val="left"/>
        <w:rPr>
          <w:rFonts w:ascii="Times New Roman" w:hAnsi="Times New Roman" w:cs="Times New Roman"/>
          <w:color w:val="696969"/>
          <w:kern w:val="0"/>
          <w:sz w:val="22"/>
          <w:szCs w:val="22"/>
        </w:rPr>
      </w:pPr>
      <w:r w:rsidRPr="00586886">
        <w:rPr>
          <w:rFonts w:ascii="Times New Roman" w:hAnsi="Times New Roman" w:cs="Times New Roman"/>
          <w:color w:val="696969"/>
          <w:kern w:val="0"/>
          <w:sz w:val="22"/>
          <w:szCs w:val="22"/>
        </w:rPr>
        <w:t> For additional information regarding the financial crisis, students can refer to</w:t>
      </w:r>
      <w:bookmarkStart w:id="5" w:name="VKVEDN737984856"/>
      <w:r w:rsidRPr="00586886">
        <w:rPr>
          <w:rFonts w:ascii="Times New Roman" w:hAnsi="Times New Roman" w:cs="Times New Roman"/>
          <w:color w:val="696969"/>
          <w:kern w:val="0"/>
          <w:sz w:val="22"/>
          <w:szCs w:val="22"/>
        </w:rPr>
        <w:fldChar w:fldCharType="begin"/>
      </w:r>
      <w:r w:rsidRPr="00586886">
        <w:rPr>
          <w:rFonts w:ascii="Times New Roman" w:hAnsi="Times New Roman" w:cs="Times New Roman"/>
          <w:color w:val="696969"/>
          <w:kern w:val="0"/>
          <w:sz w:val="22"/>
          <w:szCs w:val="22"/>
        </w:rPr>
        <w:instrText xml:space="preserve"> HYPERLINK "http://stlouisfed.org/Financial-Crisis" \t "_blank" </w:instrText>
      </w:r>
      <w:r w:rsidRPr="00586886">
        <w:rPr>
          <w:rFonts w:ascii="Times New Roman" w:hAnsi="Times New Roman" w:cs="Times New Roman"/>
          <w:color w:val="696969"/>
          <w:kern w:val="0"/>
          <w:sz w:val="22"/>
          <w:szCs w:val="22"/>
        </w:rPr>
      </w:r>
      <w:r w:rsidRPr="00586886">
        <w:rPr>
          <w:rFonts w:ascii="Times New Roman" w:hAnsi="Times New Roman" w:cs="Times New Roman"/>
          <w:color w:val="696969"/>
          <w:kern w:val="0"/>
          <w:sz w:val="22"/>
          <w:szCs w:val="22"/>
        </w:rPr>
        <w:fldChar w:fldCharType="separate"/>
      </w:r>
      <w:r w:rsidRPr="00586886">
        <w:rPr>
          <w:rFonts w:ascii="Times New Roman" w:hAnsi="Times New Roman" w:cs="Times New Roman"/>
          <w:color w:val="008CD2"/>
          <w:kern w:val="0"/>
          <w:sz w:val="22"/>
          <w:szCs w:val="22"/>
          <w:u w:val="single"/>
        </w:rPr>
        <w:t>stlouisfed.org/Financial-Crisis</w:t>
      </w:r>
      <w:r w:rsidRPr="00586886">
        <w:rPr>
          <w:rFonts w:ascii="Times New Roman" w:hAnsi="Times New Roman" w:cs="Times New Roman"/>
          <w:color w:val="696969"/>
          <w:kern w:val="0"/>
          <w:sz w:val="22"/>
          <w:szCs w:val="22"/>
        </w:rPr>
        <w:fldChar w:fldCharType="end"/>
      </w:r>
      <w:bookmarkEnd w:id="5"/>
      <w:r w:rsidRPr="00586886">
        <w:rPr>
          <w:rFonts w:ascii="Times New Roman" w:hAnsi="Times New Roman" w:cs="Times New Roman"/>
          <w:color w:val="696969"/>
          <w:kern w:val="0"/>
          <w:sz w:val="22"/>
          <w:szCs w:val="22"/>
        </w:rPr>
        <w:t>. Another good source can be found at</w:t>
      </w:r>
      <w:bookmarkStart w:id="6" w:name="BNTBDF946566556"/>
      <w:r w:rsidRPr="00586886">
        <w:rPr>
          <w:rFonts w:ascii="Times New Roman" w:hAnsi="Times New Roman" w:cs="Times New Roman"/>
          <w:color w:val="696969"/>
          <w:kern w:val="0"/>
          <w:sz w:val="22"/>
          <w:szCs w:val="22"/>
        </w:rPr>
        <w:fldChar w:fldCharType="begin"/>
      </w:r>
      <w:r w:rsidRPr="00586886">
        <w:rPr>
          <w:rFonts w:ascii="Times New Roman" w:hAnsi="Times New Roman" w:cs="Times New Roman"/>
          <w:color w:val="696969"/>
          <w:kern w:val="0"/>
          <w:sz w:val="22"/>
          <w:szCs w:val="22"/>
        </w:rPr>
        <w:instrText xml:space="preserve"> HYPERLINK "http://fcic.law.stanford.edu/" \t "_blank" </w:instrText>
      </w:r>
      <w:r w:rsidRPr="00586886">
        <w:rPr>
          <w:rFonts w:ascii="Times New Roman" w:hAnsi="Times New Roman" w:cs="Times New Roman"/>
          <w:color w:val="696969"/>
          <w:kern w:val="0"/>
          <w:sz w:val="22"/>
          <w:szCs w:val="22"/>
        </w:rPr>
      </w:r>
      <w:r w:rsidRPr="00586886">
        <w:rPr>
          <w:rFonts w:ascii="Times New Roman" w:hAnsi="Times New Roman" w:cs="Times New Roman"/>
          <w:color w:val="696969"/>
          <w:kern w:val="0"/>
          <w:sz w:val="22"/>
          <w:szCs w:val="22"/>
        </w:rPr>
        <w:fldChar w:fldCharType="separate"/>
      </w:r>
      <w:r w:rsidRPr="00586886">
        <w:rPr>
          <w:rFonts w:ascii="Times New Roman" w:hAnsi="Times New Roman" w:cs="Times New Roman"/>
          <w:color w:val="008CD2"/>
          <w:kern w:val="0"/>
          <w:sz w:val="22"/>
          <w:szCs w:val="22"/>
          <w:u w:val="single"/>
        </w:rPr>
        <w:t>fcic.law.stanford.edu</w:t>
      </w:r>
      <w:r w:rsidRPr="00586886">
        <w:rPr>
          <w:rFonts w:ascii="Times New Roman" w:hAnsi="Times New Roman" w:cs="Times New Roman"/>
          <w:color w:val="696969"/>
          <w:kern w:val="0"/>
          <w:sz w:val="22"/>
          <w:szCs w:val="22"/>
        </w:rPr>
        <w:fldChar w:fldCharType="end"/>
      </w:r>
      <w:bookmarkEnd w:id="6"/>
      <w:r w:rsidRPr="00586886">
        <w:rPr>
          <w:rFonts w:ascii="Times New Roman" w:hAnsi="Times New Roman" w:cs="Times New Roman"/>
          <w:color w:val="696969"/>
          <w:kern w:val="0"/>
          <w:sz w:val="22"/>
          <w:szCs w:val="22"/>
        </w:rPr>
        <w:t>, which focuses on the Financial Crisis Inquiry Commission.</w:t>
      </w:r>
    </w:p>
    <w:p w:rsidR="006D4E15" w:rsidRPr="00586886" w:rsidRDefault="006D4E15" w:rsidP="006D4E15">
      <w:pPr>
        <w:widowControl/>
        <w:shd w:val="clear" w:color="auto" w:fill="FFFFFF"/>
        <w:spacing w:after="225"/>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In recent years, the dramatic price swings in the financial markets that have become increasingly common have led many to question whether markets are always efficient. In response, there has been increased interest in </w:t>
      </w:r>
      <w:r w:rsidRPr="00586886">
        <w:rPr>
          <w:rFonts w:ascii="Times New Roman" w:hAnsi="Times New Roman" w:cs="Times New Roman"/>
          <w:i/>
          <w:iCs/>
          <w:color w:val="666666"/>
          <w:kern w:val="0"/>
          <w:sz w:val="22"/>
          <w:szCs w:val="22"/>
        </w:rPr>
        <w:t>behavioral finance theory</w:t>
      </w:r>
      <w:r w:rsidRPr="00586886">
        <w:rPr>
          <w:rFonts w:ascii="Times New Roman" w:hAnsi="Times New Roman" w:cs="Times New Roman"/>
          <w:color w:val="666666"/>
          <w:kern w:val="0"/>
          <w:sz w:val="22"/>
          <w:szCs w:val="22"/>
        </w:rPr>
        <w:t>. This theory focuses on how psychological factors influence individual decisions (sometimes in perverse ways), and the resulting impact these decisions have on financial markets.</w:t>
      </w:r>
    </w:p>
    <w:p w:rsidR="006D4E15" w:rsidRPr="00586886" w:rsidRDefault="006D4E15" w:rsidP="006D4E15">
      <w:pPr>
        <w:widowControl/>
        <w:shd w:val="clear" w:color="auto" w:fill="FFFFFF"/>
        <w:spacing w:after="225"/>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When you finish this chapter, you should be able to:</w:t>
      </w:r>
    </w:p>
    <w:p w:rsidR="006D4E15" w:rsidRPr="00586886" w:rsidRDefault="006D4E15" w:rsidP="006D4E15">
      <w:pPr>
        <w:widowControl/>
        <w:numPr>
          <w:ilvl w:val="0"/>
          <w:numId w:val="1"/>
        </w:numPr>
        <w:shd w:val="clear" w:color="auto" w:fill="FFFFFF"/>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Identify the different types of financial markets and financial institutions, and explain how these markets and institutions enhance capital allocation.</w:t>
      </w:r>
    </w:p>
    <w:p w:rsidR="006D4E15" w:rsidRPr="00586886" w:rsidRDefault="006D4E15" w:rsidP="006D4E15">
      <w:pPr>
        <w:widowControl/>
        <w:numPr>
          <w:ilvl w:val="0"/>
          <w:numId w:val="1"/>
        </w:numPr>
        <w:shd w:val="clear" w:color="auto" w:fill="FFFFFF"/>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Explain how the stock market operates, and list the distinctions between the different types of stock markets.</w:t>
      </w:r>
    </w:p>
    <w:p w:rsidR="006D4E15" w:rsidRPr="00586886" w:rsidRDefault="006D4E15" w:rsidP="006D4E15">
      <w:pPr>
        <w:widowControl/>
        <w:numPr>
          <w:ilvl w:val="0"/>
          <w:numId w:val="1"/>
        </w:numPr>
        <w:shd w:val="clear" w:color="auto" w:fill="FFFFFF"/>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Explain how the stock market has performed in recent years.</w:t>
      </w:r>
    </w:p>
    <w:p w:rsidR="006D4E15" w:rsidRPr="00586886" w:rsidRDefault="006D4E15" w:rsidP="006D4E15">
      <w:pPr>
        <w:widowControl/>
        <w:numPr>
          <w:ilvl w:val="0"/>
          <w:numId w:val="1"/>
        </w:numPr>
        <w:shd w:val="clear" w:color="auto" w:fill="FFFFFF"/>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Discuss the importance of market efficiency, and explain why some markets are more efficient than others.</w:t>
      </w:r>
    </w:p>
    <w:p w:rsidR="006D4E15" w:rsidRPr="00586886" w:rsidRDefault="006D4E15" w:rsidP="006D4E15">
      <w:pPr>
        <w:widowControl/>
        <w:numPr>
          <w:ilvl w:val="0"/>
          <w:numId w:val="1"/>
        </w:numPr>
        <w:shd w:val="clear" w:color="auto" w:fill="FFFFFF"/>
        <w:ind w:left="1950" w:right="30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Develop a simple understanding of behavioral finance.</w:t>
      </w:r>
    </w:p>
    <w:p w:rsidR="006D4E15" w:rsidRPr="00586886" w:rsidRDefault="006D4E15" w:rsidP="006D4E15">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2-1</w:t>
      </w:r>
      <w:r w:rsidRPr="00586886">
        <w:rPr>
          <w:rStyle w:val="headingtext"/>
          <w:rFonts w:ascii="Times New Roman" w:eastAsia="Times New Roman" w:hAnsi="Times New Roman" w:cs="Times New Roman"/>
          <w:b w:val="0"/>
          <w:bCs w:val="0"/>
          <w:color w:val="007DB8"/>
          <w:sz w:val="22"/>
          <w:szCs w:val="22"/>
        </w:rPr>
        <w:t>The Capital Allocation Process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Businesses, individuals, and governments often need to raise capital. For example, Carolina Power &amp; Light Energy (CP&amp;L) forecasts an increase in the demand for electricity in North and South Carolina, so it will build a new power plant to meet those needs. Because CP&amp;L’s bank account does not contain the $1 billion necessary to pay for the plant, the company must raise this capital in the financial markets. Similarly, the proprietor of a San Francisco hardware store wants to expand into appliances. Where will he get the money to buy the initial inventory of TV sets, washers, and freezers? Or suppose the Johnson family wants to buy a home that costs $200,000, but they have only $50,000 in savings. Where will they obtain the additional $150,000? The city of New York needs $200 million to build a new sewer plant. Where can it obtain this money? Finally, the federal government needs more money than it receives from taxes. Where will the extra money come from?</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On the other hand, some individuals and firms have incomes that exceed their current expenditures, in which case they have funds available to invest. For example, Carol Hawk has an income of $36,000, but her expenses are only $30,000. That leaves her with $6,000 to invest. Similarly, Microsoft has accumulated roughly $90.3 billion of cash and marketable securities. What can Microsoft do with this money until it is needed in the business?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People and organizations with surplus funds are saving today in order to accumulate funds for some future use. Members of a household might save to pay for their children’s education and the parents’ retirement, while a business might save to fund future investments. Those with surplus funds expect to earn a return on their investments, while people and organizations that need capital understand that they must pay interest to those who provide that capital.</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In a well-functioning economy, capital flows efficiently from those with surplus capital to those who need it. This transfer can take place in the three ways described in</w:t>
      </w:r>
      <w:r w:rsidRPr="00586886">
        <w:rPr>
          <w:rStyle w:val="apple-converted-space"/>
          <w:rFonts w:ascii="Times New Roman" w:hAnsi="Times New Roman"/>
          <w:color w:val="666666"/>
          <w:sz w:val="22"/>
          <w:szCs w:val="22"/>
        </w:rPr>
        <w:t> </w:t>
      </w:r>
      <w:hyperlink r:id="rId7" w:history="1">
        <w:r w:rsidRPr="00586886">
          <w:rPr>
            <w:rStyle w:val="a5"/>
            <w:rFonts w:ascii="Times New Roman" w:hAnsi="Times New Roman"/>
            <w:color w:val="008CD2"/>
            <w:sz w:val="22"/>
            <w:szCs w:val="22"/>
          </w:rPr>
          <w:t>Figure 2.1</w:t>
        </w:r>
      </w:hyperlink>
      <w:r w:rsidRPr="00586886">
        <w:rPr>
          <w:rFonts w:ascii="Times New Roman" w:hAnsi="Times New Roman"/>
          <w:color w:val="666666"/>
          <w:sz w:val="22"/>
          <w:szCs w:val="22"/>
        </w:rPr>
        <w:t>.</w:t>
      </w:r>
      <w:bookmarkStart w:id="7" w:name="PageEnd_28"/>
      <w:bookmarkEnd w:id="7"/>
    </w:p>
    <w:p w:rsidR="006D4E15" w:rsidRPr="00586886" w:rsidRDefault="006D4E15" w:rsidP="006D4E15">
      <w:pPr>
        <w:spacing w:line="486" w:lineRule="atLeast"/>
        <w:rPr>
          <w:rFonts w:ascii="Times New Roman" w:eastAsia="Times New Roman" w:hAnsi="Times New Roman" w:cs="Times New Roman"/>
          <w:b/>
          <w:bCs/>
          <w:color w:val="C15827"/>
          <w:sz w:val="22"/>
          <w:szCs w:val="22"/>
        </w:rPr>
      </w:pPr>
      <w:r w:rsidRPr="00586886">
        <w:rPr>
          <w:rStyle w:val="medialabeltext"/>
          <w:rFonts w:ascii="Times New Roman" w:eastAsia="Times New Roman" w:hAnsi="Times New Roman" w:cs="Times New Roman"/>
          <w:b/>
          <w:bCs/>
          <w:color w:val="535957"/>
          <w:sz w:val="22"/>
          <w:szCs w:val="22"/>
          <w:shd w:val="clear" w:color="auto" w:fill="DAD9E1"/>
        </w:rPr>
        <w:t>Figure</w:t>
      </w:r>
      <w:r w:rsidRPr="00586886">
        <w:rPr>
          <w:rStyle w:val="apple-converted-space"/>
          <w:rFonts w:ascii="Times New Roman" w:eastAsia="Times New Roman" w:hAnsi="Times New Roman" w:cs="Times New Roman"/>
          <w:b/>
          <w:bCs/>
          <w:color w:val="535957"/>
          <w:sz w:val="22"/>
          <w:szCs w:val="22"/>
          <w:shd w:val="clear" w:color="auto" w:fill="DAD9E1"/>
        </w:rPr>
        <w:t> </w:t>
      </w:r>
      <w:r w:rsidRPr="00586886">
        <w:rPr>
          <w:rStyle w:val="mediafigurenumber"/>
          <w:rFonts w:ascii="Times New Roman" w:eastAsia="Times New Roman" w:hAnsi="Times New Roman" w:cs="Times New Roman"/>
          <w:b/>
          <w:bCs/>
          <w:color w:val="535957"/>
          <w:sz w:val="22"/>
          <w:szCs w:val="22"/>
          <w:shd w:val="clear" w:color="auto" w:fill="DAD9E1"/>
        </w:rPr>
        <w:t>2.1</w:t>
      </w:r>
      <w:r w:rsidRPr="00586886">
        <w:rPr>
          <w:rStyle w:val="mediaassettitle"/>
          <w:rFonts w:ascii="Times New Roman" w:eastAsia="Times New Roman" w:hAnsi="Times New Roman" w:cs="Times New Roman"/>
          <w:b/>
          <w:bCs/>
          <w:color w:val="000000"/>
          <w:sz w:val="22"/>
          <w:szCs w:val="22"/>
        </w:rPr>
        <w:t>Diagram of the Capital Formation Process for Business</w:t>
      </w:r>
    </w:p>
    <w:p w:rsidR="006D4E15" w:rsidRPr="00586886" w:rsidRDefault="006D4E15" w:rsidP="006D4E15">
      <w:pPr>
        <w:shd w:val="clear" w:color="auto" w:fill="FFFFFF"/>
        <w:spacing w:line="486" w:lineRule="atLeast"/>
        <w:jc w:val="center"/>
        <w:rPr>
          <w:rFonts w:ascii="Times New Roman" w:eastAsia="Times New Roman" w:hAnsi="Times New Roman" w:cs="Times New Roman"/>
          <w:color w:val="666666"/>
          <w:sz w:val="22"/>
          <w:szCs w:val="22"/>
        </w:rPr>
      </w:pPr>
    </w:p>
    <w:p w:rsidR="006D4E15" w:rsidRPr="00586886" w:rsidRDefault="006D4E15" w:rsidP="006D4E15">
      <w:pPr>
        <w:shd w:val="clear" w:color="auto" w:fill="FFFFFF"/>
        <w:spacing w:line="486" w:lineRule="atLeast"/>
        <w:jc w:val="center"/>
        <w:rPr>
          <w:rFonts w:ascii="Times New Roman" w:eastAsia="Times New Roman" w:hAnsi="Times New Roman" w:cs="Times New Roman"/>
          <w:color w:val="666666"/>
          <w:sz w:val="22"/>
          <w:szCs w:val="22"/>
        </w:rPr>
      </w:pPr>
      <w:r w:rsidRPr="00586886">
        <w:rPr>
          <w:rFonts w:ascii="Times New Roman" w:eastAsia="Times New Roman" w:hAnsi="Times New Roman" w:cs="Times New Roman"/>
          <w:noProof/>
          <w:color w:val="666666"/>
          <w:sz w:val="22"/>
          <w:szCs w:val="22"/>
        </w:rPr>
        <w:drawing>
          <wp:inline distT="0" distB="0" distL="0" distR="0" wp14:anchorId="201D639F" wp14:editId="22839AA3">
            <wp:extent cx="262255" cy="262255"/>
            <wp:effectExtent l="0" t="0" r="0" b="0"/>
            <wp:docPr id="1" name="图片 1" descr="nlarg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large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255" cy="262255"/>
                    </a:xfrm>
                    <a:prstGeom prst="rect">
                      <a:avLst/>
                    </a:prstGeom>
                    <a:noFill/>
                    <a:ln>
                      <a:noFill/>
                    </a:ln>
                  </pic:spPr>
                </pic:pic>
              </a:graphicData>
            </a:graphic>
          </wp:inline>
        </w:drawing>
      </w:r>
    </w:p>
    <w:p w:rsidR="006D4E15" w:rsidRPr="00586886" w:rsidRDefault="006D4E15" w:rsidP="006D4E15">
      <w:pPr>
        <w:pStyle w:val="a3"/>
        <w:numPr>
          <w:ilvl w:val="0"/>
          <w:numId w:val="2"/>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Direct transfers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of money and securities, as shown in the top section, occur when a business sells its stocks or bonds directly to savers, without going through any type of financial institution. The business delivers its securities to savers, who, in turn, give the firm the money it needs. This procedure is used mainly by small firms, and relatively little capital is raised by direct transfers.</w:t>
      </w:r>
    </w:p>
    <w:p w:rsidR="006D4E15" w:rsidRPr="00586886" w:rsidRDefault="006D4E15" w:rsidP="006D4E15">
      <w:pPr>
        <w:pStyle w:val="a3"/>
        <w:numPr>
          <w:ilvl w:val="0"/>
          <w:numId w:val="2"/>
        </w:numPr>
        <w:shd w:val="clear" w:color="auto" w:fill="FFFFFF"/>
        <w:spacing w:before="0" w:beforeAutospacing="0" w:after="0"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As shown in the middle section, transfers may also go through an investment bank (</w:t>
      </w:r>
      <w:proofErr w:type="spellStart"/>
      <w:r w:rsidRPr="00586886">
        <w:rPr>
          <w:rFonts w:ascii="Times New Roman" w:hAnsi="Times New Roman"/>
          <w:color w:val="666666"/>
          <w:sz w:val="22"/>
          <w:szCs w:val="22"/>
        </w:rPr>
        <w:t>iBank</w:t>
      </w:r>
      <w:proofErr w:type="spellEnd"/>
      <w:r w:rsidRPr="00586886">
        <w:rPr>
          <w:rFonts w:ascii="Times New Roman" w:hAnsi="Times New Roman"/>
          <w:color w:val="666666"/>
          <w:sz w:val="22"/>
          <w:szCs w:val="22"/>
        </w:rPr>
        <w:t>) such as Morgan Stanley, which</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underwrites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issue. An underwriter facilitates the issuance of securities. The company sells its stocks or bonds to the investment bank, which then sells these same securities to savers. The businesses’ securities and the savers’ money merely “pass through” the investment bank. However, because the investment bank buys and holds the securities for a period of time, it is taking a risk—it may not be able to resell the securities to savers for as much as it paid. Because new securities are involved and the corporation receives the sale proceeds, this transaction is called a</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primary market transaction.</w:t>
      </w:r>
    </w:p>
    <w:p w:rsidR="006D4E15" w:rsidRPr="00586886" w:rsidRDefault="006D4E15" w:rsidP="006D4E15">
      <w:pPr>
        <w:pStyle w:val="a3"/>
        <w:numPr>
          <w:ilvl w:val="0"/>
          <w:numId w:val="2"/>
        </w:numPr>
        <w:shd w:val="clear" w:color="auto" w:fill="FFFFFF"/>
        <w:spacing w:before="0" w:beforeAutospacing="0" w:after="0"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Transfers can also be made through a</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financial intermediary</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such as a bank, an insurance company, or a mutual fund. Here the intermediary obtains funds from savers in exchange for its securities. The intermediary uses this money to buy and hold businesses’ securities, and the savers hold the intermediary’s securities. For example, a saver deposits dollars in a bank, receiving a certificate of deposit; then the bank lends the money to a business in the form of a mortgage loan. Thus, intermediaries literally create new forms of capital—in this case, certificates of deposit, which are safer and more liquid than mortgages and thus better for most savers to hold. The existence of intermediaries greatly increases the efficiency of money and capital markets.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Often the entity needing capital is a business (and specifically a corporation); but it is easy to visualize the demander of capital being a home purchaser, a small business, or a government unit. For example, if your uncle lends you money to fund a new business, a direct transfer of funds will occur. Alternatively, if you borrow money to purchase a home, you will probably raise the funds through a financial intermediary such as your local commercial bank or mortgage banker. That banker could sell your mortgage to an investment bank, which then might use it as collateral for a bond that is purchased by a pension fund.</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In a global context, economic development is highly correlated with the level and efficiency of financial markets and institutions.</w:t>
      </w:r>
      <w:r w:rsidRPr="00586886">
        <w:rPr>
          <w:rFonts w:ascii="Times New Roman" w:hAnsi="Times New Roman"/>
          <w:noProof/>
          <w:color w:val="008CD2"/>
          <w:sz w:val="22"/>
          <w:szCs w:val="22"/>
        </w:rPr>
        <w:drawing>
          <wp:inline distT="0" distB="0" distL="0" distR="0" wp14:anchorId="2DD02AD2" wp14:editId="26077855">
            <wp:extent cx="167005" cy="167005"/>
            <wp:effectExtent l="0" t="0" r="10795" b="10795"/>
            <wp:docPr id="2" name="图片 2" descr="http://ng.cengage.com/static/nbapps/glossary/images/footstar.png">
              <a:hlinkClick xmlns:a="http://schemas.openxmlformats.org/drawingml/2006/main" r:id="rId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ng.cengage.com/static/nbapps/glossary/images/footstar.png">
                      <a:hlinkClick r:id="rId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It is difficult, if not impossible, for an economy to reach its full potential if it doesn’t have access to a well-functioning financial system. In a well-developed economy like that of the United States, an extensive set of markets and institutions has evolved over time to facilitate the efficient allocation of capital. To raise capital efficiently, managers must understand how these markets and institutions work; and individuals need to know how the markets and institutions work to earn high rates of returns on their savings.</w:t>
      </w:r>
    </w:p>
    <w:p w:rsidR="006D4E15" w:rsidRPr="00586886" w:rsidRDefault="006D4E15" w:rsidP="006D4E15">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2-2</w:t>
      </w:r>
      <w:r w:rsidRPr="00586886">
        <w:rPr>
          <w:rStyle w:val="headingtext"/>
          <w:rFonts w:ascii="Times New Roman" w:eastAsia="Times New Roman" w:hAnsi="Times New Roman" w:cs="Times New Roman"/>
          <w:b w:val="0"/>
          <w:bCs w:val="0"/>
          <w:color w:val="007DB8"/>
          <w:sz w:val="22"/>
          <w:szCs w:val="22"/>
        </w:rPr>
        <w:t>Financial Markets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People and organizations wanting to borrow money are brought together with those who have surplus funds in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financial markets.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Note that</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markets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is plural; there are many different financial markets in a developed economy such as that of the United States. We describe some of these markets and some trends in their development.</w:t>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2-2A</w:t>
      </w:r>
      <w:r w:rsidRPr="00586886">
        <w:rPr>
          <w:rStyle w:val="headingtext"/>
          <w:rFonts w:ascii="Times New Roman" w:eastAsia="Times New Roman" w:hAnsi="Times New Roman" w:cs="Times New Roman"/>
          <w:color w:val="DF7300"/>
          <w:sz w:val="22"/>
          <w:szCs w:val="22"/>
        </w:rPr>
        <w:t>Types of Markets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Different financial markets serve different types of customers or different parts of the country. Financial markets also vary depending on the maturity of the securities being traded and the types of assets used to back the securities. For these reasons, it is useful to classify markets along the following dimensions:</w:t>
      </w:r>
    </w:p>
    <w:p w:rsidR="006D4E15" w:rsidRPr="00586886" w:rsidRDefault="006D4E15" w:rsidP="006D4E15">
      <w:pPr>
        <w:pStyle w:val="a3"/>
        <w:numPr>
          <w:ilvl w:val="0"/>
          <w:numId w:val="3"/>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Physical asset markets versus financial asset markets. Physical asset markets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(also called “tangible” or “real” asset markets) are for products such as wheat, autos, real estate, computers, and machinery.</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Financial asset markets,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on the other hand, deal with stocks, bonds, notes, and mortgages. Financial markets also deal </w:t>
      </w:r>
      <w:proofErr w:type="spellStart"/>
      <w:r w:rsidRPr="00586886">
        <w:rPr>
          <w:rFonts w:ascii="Times New Roman" w:hAnsi="Times New Roman"/>
          <w:color w:val="666666"/>
          <w:sz w:val="22"/>
          <w:szCs w:val="22"/>
        </w:rPr>
        <w:t>with</w:t>
      </w:r>
      <w:r w:rsidRPr="00586886">
        <w:rPr>
          <w:rStyle w:val="a4"/>
          <w:rFonts w:ascii="Times New Roman" w:hAnsi="Times New Roman"/>
          <w:color w:val="666666"/>
          <w:sz w:val="22"/>
          <w:szCs w:val="22"/>
        </w:rPr>
        <w:t>derivative</w:t>
      </w:r>
      <w:proofErr w:type="spellEnd"/>
      <w:r w:rsidRPr="00586886">
        <w:rPr>
          <w:rStyle w:val="a4"/>
          <w:rFonts w:ascii="Times New Roman" w:hAnsi="Times New Roman"/>
          <w:color w:val="666666"/>
          <w:sz w:val="22"/>
          <w:szCs w:val="22"/>
        </w:rPr>
        <w:t xml:space="preserve"> securities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whose values are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derived</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from changes in the prices of other assets. A share of Ford stock is a “pure financial asset,” while an option to buy Ford shares is a derivative security whose value depends on the price of Ford stock.</w:t>
      </w:r>
    </w:p>
    <w:p w:rsidR="006D4E15" w:rsidRPr="00586886" w:rsidRDefault="006D4E15" w:rsidP="006D4E15">
      <w:pPr>
        <w:pStyle w:val="a3"/>
        <w:numPr>
          <w:ilvl w:val="0"/>
          <w:numId w:val="3"/>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Spot markets versus futures markets.</w:t>
      </w:r>
      <w:r w:rsidRPr="00586886">
        <w:rPr>
          <w:rStyle w:val="apple-converted-space"/>
          <w:rFonts w:ascii="Times New Roman" w:hAnsi="Times New Roman"/>
          <w:color w:val="666666"/>
          <w:sz w:val="22"/>
          <w:szCs w:val="22"/>
        </w:rPr>
        <w:t> </w:t>
      </w:r>
      <w:hyperlink r:id="rId10" w:history="1">
        <w:r w:rsidRPr="00586886">
          <w:rPr>
            <w:rStyle w:val="primaryterm"/>
            <w:rFonts w:ascii="Times New Roman" w:hAnsi="Times New Roman"/>
            <w:b/>
            <w:bCs/>
            <w:color w:val="0081BC"/>
            <w:sz w:val="22"/>
            <w:szCs w:val="22"/>
          </w:rPr>
          <w:t>Spot markets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markets in which assets are bought or sold for “on-the-spot” delivery (literally, within a few days).</w:t>
      </w:r>
      <w:r w:rsidRPr="00586886">
        <w:rPr>
          <w:rStyle w:val="apple-converted-space"/>
          <w:rFonts w:ascii="Times New Roman" w:hAnsi="Times New Roman"/>
          <w:color w:val="666666"/>
          <w:sz w:val="22"/>
          <w:szCs w:val="22"/>
        </w:rPr>
        <w:t> </w:t>
      </w:r>
      <w:hyperlink r:id="rId11" w:history="1">
        <w:r w:rsidRPr="00586886">
          <w:rPr>
            <w:rStyle w:val="primaryterm"/>
            <w:rFonts w:ascii="Times New Roman" w:hAnsi="Times New Roman"/>
            <w:b/>
            <w:bCs/>
            <w:color w:val="0081BC"/>
            <w:sz w:val="22"/>
            <w:szCs w:val="22"/>
          </w:rPr>
          <w:t>Futures markets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markets in which participants agree today to buy or sell an asset at some future date. For example, a farmer may enter into a futures contract in which he agrees today to sell 5,000 bushels of soybeans 6 months from now at a price of $9.75 a bushel. To continue that example, a food processor that needs soybeans in the future may enter into a futures contract in which it agrees to buy soybeans 6 months from now. Such a transaction can reduce, or</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hedge,</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risks faced by both the farmer and the food processor.</w:t>
      </w:r>
    </w:p>
    <w:p w:rsidR="006D4E15" w:rsidRPr="00586886" w:rsidRDefault="006D4E15" w:rsidP="006D4E15">
      <w:pPr>
        <w:pStyle w:val="a3"/>
        <w:numPr>
          <w:ilvl w:val="0"/>
          <w:numId w:val="3"/>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Money markets versus capital markets.</w:t>
      </w:r>
      <w:r w:rsidRPr="00586886">
        <w:rPr>
          <w:rStyle w:val="apple-converted-space"/>
          <w:rFonts w:ascii="Times New Roman" w:hAnsi="Times New Roman"/>
          <w:color w:val="666666"/>
          <w:sz w:val="22"/>
          <w:szCs w:val="22"/>
        </w:rPr>
        <w:t> </w:t>
      </w:r>
      <w:hyperlink r:id="rId12" w:history="1">
        <w:r w:rsidRPr="00586886">
          <w:rPr>
            <w:rStyle w:val="primaryterm"/>
            <w:rFonts w:ascii="Times New Roman" w:hAnsi="Times New Roman"/>
            <w:b/>
            <w:bCs/>
            <w:color w:val="0081BC"/>
            <w:sz w:val="22"/>
            <w:szCs w:val="22"/>
          </w:rPr>
          <w:t>Money markets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the markets for short-term, highly liquid debt securities. The New York, London, and Tokyo money markets are among the world’s largest.</w:t>
      </w:r>
      <w:r w:rsidRPr="00586886">
        <w:rPr>
          <w:rStyle w:val="apple-converted-space"/>
          <w:rFonts w:ascii="Times New Roman" w:hAnsi="Times New Roman"/>
          <w:color w:val="666666"/>
          <w:sz w:val="22"/>
          <w:szCs w:val="22"/>
        </w:rPr>
        <w:t> </w:t>
      </w:r>
      <w:hyperlink r:id="rId13" w:history="1">
        <w:r w:rsidRPr="00586886">
          <w:rPr>
            <w:rStyle w:val="primaryterm"/>
            <w:rFonts w:ascii="Times New Roman" w:hAnsi="Times New Roman"/>
            <w:b/>
            <w:bCs/>
            <w:color w:val="0081BC"/>
            <w:sz w:val="22"/>
            <w:szCs w:val="22"/>
          </w:rPr>
          <w:t>Capital markets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the markets for intermediate- or long-term debt and corporate stocks. The New York Stock Exchange, where the stocks of the largest U.S. corporations are traded, is a prime example of a capital market. There is no hard-and-fast rule, but in a description of debt markets,</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short-term</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generally means less than 1 year,</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intermediate-term</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means 1 to 10 years, and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long-term</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means more than 10 years.</w:t>
      </w:r>
    </w:p>
    <w:p w:rsidR="006D4E15" w:rsidRPr="00586886" w:rsidRDefault="006D4E15" w:rsidP="006D4E15">
      <w:pPr>
        <w:pStyle w:val="a3"/>
        <w:numPr>
          <w:ilvl w:val="0"/>
          <w:numId w:val="3"/>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Primary markets versus secondary markets.</w:t>
      </w:r>
      <w:r w:rsidRPr="00586886">
        <w:rPr>
          <w:rStyle w:val="apple-converted-space"/>
          <w:rFonts w:ascii="Times New Roman" w:hAnsi="Times New Roman"/>
          <w:color w:val="666666"/>
          <w:sz w:val="22"/>
          <w:szCs w:val="22"/>
        </w:rPr>
        <w:t> </w:t>
      </w:r>
      <w:hyperlink r:id="rId14" w:history="1">
        <w:r w:rsidRPr="00586886">
          <w:rPr>
            <w:rStyle w:val="primaryterm"/>
            <w:rFonts w:ascii="Times New Roman" w:hAnsi="Times New Roman"/>
            <w:b/>
            <w:bCs/>
            <w:color w:val="0081BC"/>
            <w:sz w:val="22"/>
            <w:szCs w:val="22"/>
          </w:rPr>
          <w:t>Primary markets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the markets in which corporations raise new capital. If GE were to sell a new issue of common stock to raise capital, a primary market transaction would take place. The corporation selling the newly created stock, GE, receives the proceeds from the sale in a primary market transaction.</w:t>
      </w:r>
      <w:r w:rsidRPr="00586886">
        <w:rPr>
          <w:rStyle w:val="apple-converted-space"/>
          <w:rFonts w:ascii="Times New Roman" w:hAnsi="Times New Roman"/>
          <w:color w:val="666666"/>
          <w:sz w:val="22"/>
          <w:szCs w:val="22"/>
        </w:rPr>
        <w:t> </w:t>
      </w:r>
      <w:hyperlink r:id="rId15" w:history="1">
        <w:r w:rsidRPr="00586886">
          <w:rPr>
            <w:rStyle w:val="primaryterm"/>
            <w:rFonts w:ascii="Times New Roman" w:hAnsi="Times New Roman"/>
            <w:b/>
            <w:bCs/>
            <w:color w:val="0081BC"/>
            <w:sz w:val="22"/>
            <w:szCs w:val="22"/>
          </w:rPr>
          <w:t>Secondary markets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markets in which existing, already outstanding securities are traded among investors. Thus, if Jane Doe decided to buy 1,000 shares of GE stock, the purchase would occur in the secondary market. The New York Stock Exchange is a secondary market because it deals in outstanding, as opposed to newly issued, stocks and bonds. Secondary markets also exist for mortgages, other types of loans, and other financial assets. The corporation whose securities are being traded is not involved in a secondary market transaction and thus does not receive funds from such a sale.</w:t>
      </w:r>
      <w:bookmarkStart w:id="8" w:name="PageEnd_30"/>
      <w:bookmarkEnd w:id="8"/>
    </w:p>
    <w:p w:rsidR="006D4E15" w:rsidRPr="00586886" w:rsidRDefault="006D4E15" w:rsidP="006D4E15">
      <w:pPr>
        <w:pStyle w:val="a3"/>
        <w:numPr>
          <w:ilvl w:val="0"/>
          <w:numId w:val="3"/>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Private markets versus public markets.</w:t>
      </w:r>
      <w:r w:rsidRPr="00586886">
        <w:rPr>
          <w:rStyle w:val="apple-converted-space"/>
          <w:rFonts w:ascii="Times New Roman" w:hAnsi="Times New Roman"/>
          <w:color w:val="666666"/>
          <w:sz w:val="22"/>
          <w:szCs w:val="22"/>
        </w:rPr>
        <w:t> </w:t>
      </w:r>
      <w:hyperlink r:id="rId16" w:history="1">
        <w:r w:rsidRPr="00586886">
          <w:rPr>
            <w:rStyle w:val="primaryterm"/>
            <w:rFonts w:ascii="Times New Roman" w:hAnsi="Times New Roman"/>
            <w:b/>
            <w:bCs/>
            <w:color w:val="0081BC"/>
            <w:sz w:val="22"/>
            <w:szCs w:val="22"/>
          </w:rPr>
          <w:t>Private markets</w:t>
        </w:r>
      </w:hyperlink>
      <w:r w:rsidRPr="00586886">
        <w:rPr>
          <w:rFonts w:ascii="Times New Roman" w:hAnsi="Times New Roman"/>
          <w:color w:val="666666"/>
          <w:sz w:val="22"/>
          <w:szCs w:val="22"/>
        </w:rPr>
        <w:t>, where transactions are negotiated directly between two parties, are differentiated from</w:t>
      </w:r>
      <w:r w:rsidRPr="00586886">
        <w:rPr>
          <w:rStyle w:val="apple-converted-space"/>
          <w:rFonts w:ascii="Times New Roman" w:hAnsi="Times New Roman"/>
          <w:color w:val="666666"/>
          <w:sz w:val="22"/>
          <w:szCs w:val="22"/>
        </w:rPr>
        <w:t> </w:t>
      </w:r>
      <w:hyperlink r:id="rId17" w:history="1">
        <w:r w:rsidRPr="00586886">
          <w:rPr>
            <w:rStyle w:val="primaryterm"/>
            <w:rFonts w:ascii="Times New Roman" w:hAnsi="Times New Roman"/>
            <w:b/>
            <w:bCs/>
            <w:color w:val="0081BC"/>
            <w:sz w:val="22"/>
            <w:szCs w:val="22"/>
          </w:rPr>
          <w:t>public markets</w:t>
        </w:r>
      </w:hyperlink>
      <w:r w:rsidRPr="00586886">
        <w:rPr>
          <w:rFonts w:ascii="Times New Roman" w:hAnsi="Times New Roman"/>
          <w:color w:val="666666"/>
          <w:sz w:val="22"/>
          <w:szCs w:val="22"/>
        </w:rPr>
        <w:t xml:space="preserve">, where standardized contracts are traded on organized exchanges. Bank loans and private debt placements with insurance companies are examples of private market transactions. Because these transactions are private, they may be structured in any manner to which the two parties agree. By contrast, securities that are traded in public markets (for example, common stock and corporate bonds) are held by a large number of individuals. These securities must have fairly standardized contractual features because public investors do not generally have the time and expertise to negotiate unique, </w:t>
      </w:r>
      <w:proofErr w:type="spellStart"/>
      <w:r w:rsidRPr="00586886">
        <w:rPr>
          <w:rFonts w:ascii="Times New Roman" w:hAnsi="Times New Roman"/>
          <w:color w:val="666666"/>
          <w:sz w:val="22"/>
          <w:szCs w:val="22"/>
        </w:rPr>
        <w:t>nonstandardized</w:t>
      </w:r>
      <w:proofErr w:type="spellEnd"/>
      <w:r w:rsidRPr="00586886">
        <w:rPr>
          <w:rFonts w:ascii="Times New Roman" w:hAnsi="Times New Roman"/>
          <w:color w:val="666666"/>
          <w:sz w:val="22"/>
          <w:szCs w:val="22"/>
        </w:rPr>
        <w:t xml:space="preserve"> contracts. Broad ownership and standardization result in publicly traded securities being more liquid than tailor-made, uniquely negotiated securities.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Other classifications could be made, but this breakdown shows that there are many types of financial markets. Also note that the distinctions among markets are often blurred and unimportant except as a general point of reference. For example, it makes little difference if a firm borrows for 11, 12, or 13 months, that is, whether the transaction is a “money” or “capital” market transaction. You should be aware of the important differences among types of markets, but don’t be overly concerned about trying to distinguish them at the boundaries.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 healthy economy is dependent on efficient funds transfers from people who are net savers to firms and individuals who need capital. Without efficient transfers, the economy could not function: Carolina Power &amp; Light Energy could not raise capital, so Raleigh’s citizens would have no electricity; the Johnson family would not have adequate housing; Carol Hawk would have no place to invest her savings; and so forth. Obviously, the level of employment and productivity (i.e., the standard of living) would be much lower. Therefore, it is essential that financial markets function efficiently—not only quickly, but also inexpensively.</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hyperlink r:id="rId18" w:history="1">
        <w:r w:rsidRPr="00586886">
          <w:rPr>
            <w:rStyle w:val="a5"/>
            <w:rFonts w:ascii="Times New Roman" w:hAnsi="Times New Roman"/>
            <w:color w:val="008CD2"/>
            <w:sz w:val="22"/>
            <w:szCs w:val="22"/>
          </w:rPr>
          <w:t>Table 2.1</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is a listing of the most important instruments traded in the various financial markets. The instruments are arranged in ascending order of typical length of maturity. As we go through this book, we will look in more detail at many of the instruments listed in</w:t>
      </w:r>
      <w:r w:rsidRPr="00586886">
        <w:rPr>
          <w:rStyle w:val="apple-converted-space"/>
          <w:rFonts w:ascii="Times New Roman" w:hAnsi="Times New Roman"/>
          <w:color w:val="666666"/>
          <w:sz w:val="22"/>
          <w:szCs w:val="22"/>
        </w:rPr>
        <w:t> </w:t>
      </w:r>
      <w:hyperlink r:id="rId19" w:history="1">
        <w:r w:rsidRPr="00586886">
          <w:rPr>
            <w:rStyle w:val="a5"/>
            <w:rFonts w:ascii="Times New Roman" w:hAnsi="Times New Roman"/>
            <w:color w:val="008CD2"/>
            <w:sz w:val="22"/>
            <w:szCs w:val="22"/>
          </w:rPr>
          <w:t>Table 2.1</w:t>
        </w:r>
      </w:hyperlink>
      <w:r w:rsidRPr="00586886">
        <w:rPr>
          <w:rFonts w:ascii="Times New Roman" w:hAnsi="Times New Roman"/>
          <w:color w:val="666666"/>
          <w:sz w:val="22"/>
          <w:szCs w:val="22"/>
        </w:rPr>
        <w:t>. For example, we will see that there are many varieties of corporate bonds, ranging from “plain vanilla” bonds to bonds that can be converted to common stocks to bonds whose interest payments vary depending on the inflation rate. Still, the table provides an overview of the characteristics and costs of the instruments traded in the major financial markets.</w:t>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2-2B</w:t>
      </w:r>
      <w:r w:rsidRPr="00586886">
        <w:rPr>
          <w:rStyle w:val="headingtext"/>
          <w:rFonts w:ascii="Times New Roman" w:eastAsia="Times New Roman" w:hAnsi="Times New Roman" w:cs="Times New Roman"/>
          <w:color w:val="DF7300"/>
          <w:sz w:val="22"/>
          <w:szCs w:val="22"/>
        </w:rPr>
        <w:t>Recent Trends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Financial markets have experienced many changes in recent years. Technological advances in computers and telecommunications, along with the globalization of banking and commerce, have led to deregulation, which has increased competition throughout the world. As a result, there are more efficient, internationally linked markets, which are far more complex than what existed a few years ago. While these developments have been largely positive, they have also created problems for policymakers. With these concerns in mind, Congress and regulators have moved to reregulate parts of the financial sector following the 2007–2008 financial crisis. The box titled “</w:t>
      </w:r>
      <w:hyperlink r:id="rId20" w:history="1">
        <w:r w:rsidRPr="00586886">
          <w:rPr>
            <w:rStyle w:val="a5"/>
            <w:rFonts w:ascii="Times New Roman" w:hAnsi="Times New Roman"/>
            <w:color w:val="008CD2"/>
            <w:sz w:val="22"/>
            <w:szCs w:val="22"/>
          </w:rPr>
          <w:t>Changing Technology Has Transformed Financial Markets</w:t>
        </w:r>
      </w:hyperlink>
      <w:r w:rsidRPr="00586886">
        <w:rPr>
          <w:rFonts w:ascii="Times New Roman" w:hAnsi="Times New Roman"/>
          <w:color w:val="666666"/>
          <w:sz w:val="22"/>
          <w:szCs w:val="22"/>
        </w:rPr>
        <w:t>” illustrates some dramatic examples of how changing technology has transformed financial markets in recent years.</w:t>
      </w:r>
    </w:p>
    <w:p w:rsidR="006D4E15" w:rsidRPr="00586886" w:rsidRDefault="006D4E15" w:rsidP="006D4E15">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2-3</w:t>
      </w:r>
      <w:r w:rsidRPr="00586886">
        <w:rPr>
          <w:rStyle w:val="headingtext"/>
          <w:rFonts w:ascii="Times New Roman" w:eastAsia="Times New Roman" w:hAnsi="Times New Roman" w:cs="Times New Roman"/>
          <w:b w:val="0"/>
          <w:bCs w:val="0"/>
          <w:color w:val="007DB8"/>
          <w:sz w:val="22"/>
          <w:szCs w:val="22"/>
        </w:rPr>
        <w:t>Financial Institutions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Direct funds transfers are common among individuals and small businesses and in economies where financial markets and institutions are less developed. But large businesses in developed economies generally find it more efficient to enlist the services of a financial institution when it comes time to raise capital.</w:t>
      </w:r>
      <w:bookmarkStart w:id="9" w:name="PageEnd_35"/>
      <w:bookmarkEnd w:id="9"/>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In the United States and other developed nations, a set of highly efficient financial intermediaries has evolved. Their original roles were generally quite specific, and regulation prevented them from diversifying. However, in recent years regulations against diversification have been largely removed; and today the differences between institutions have become blurred. Still, there remains a degree of institutional identity. Therefore, it is useful to understand the major categories of financial institutions. Keep in mind, though, that one company can own a number of subsidiaries that engage in the different functions described next.</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hyperlink r:id="rId21" w:history="1">
        <w:r w:rsidRPr="00586886">
          <w:rPr>
            <w:rStyle w:val="primaryterm"/>
            <w:rFonts w:ascii="Times New Roman" w:hAnsi="Times New Roman"/>
            <w:b/>
            <w:bCs/>
            <w:color w:val="0081BC"/>
            <w:sz w:val="22"/>
            <w:szCs w:val="22"/>
          </w:rPr>
          <w:t>Investment banks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traditionally help companies raise capital. They (1) help corporations design securities with features that are currently attractive to investors, (2) buy these securities from the corporation, and (3) resell them to savers. Because the investment bank generally guarantees that the firm will raise the needed capital, the investment bankers are also called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underwriters.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recent credit crisis has had a dramatic effect on the investment banking industry. Bear Stearns collapsed and was later acquired by JP Morgan, Lehman Brothers went bankrupt, and Merrill Lynch was forced to sell out to Bank of America. The two “surviving” major investment banks (Morgan Stanley and Goldman Sachs) received Federal Reserve approval to become commercial bank holding companies.</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hyperlink r:id="rId22" w:history="1">
        <w:r w:rsidRPr="00586886">
          <w:rPr>
            <w:rStyle w:val="primaryterm"/>
            <w:rFonts w:ascii="Times New Roman" w:hAnsi="Times New Roman"/>
            <w:b/>
            <w:bCs/>
            <w:color w:val="0081BC"/>
            <w:sz w:val="22"/>
            <w:szCs w:val="22"/>
          </w:rPr>
          <w:t>Commercial banks</w:t>
        </w:r>
      </w:hyperlink>
      <w:r w:rsidRPr="00586886">
        <w:rPr>
          <w:rFonts w:ascii="Times New Roman" w:hAnsi="Times New Roman"/>
          <w:color w:val="666666"/>
          <w:sz w:val="22"/>
          <w:szCs w:val="22"/>
        </w:rPr>
        <w:t>, such as Bank of America, Citibank, Wells Fargo, and JP Morgan Chase, are the traditional “department stores of finance” because they serve a variety of savers and borrowers. Historically, commercial banks were the major institutions that handled checking accounts and through which the Federal Reserve System expanded or contracted the money supply. Today, however, several other institutions also provide checking services and significantly influence the money supply. Note too that the larger banks are generally part of financial services corporations as described next.</w:t>
      </w:r>
      <w:r w:rsidRPr="00586886">
        <w:rPr>
          <w:rFonts w:ascii="Times New Roman" w:hAnsi="Times New Roman"/>
          <w:noProof/>
          <w:color w:val="008CD2"/>
          <w:sz w:val="22"/>
          <w:szCs w:val="22"/>
        </w:rPr>
        <w:drawing>
          <wp:inline distT="0" distB="0" distL="0" distR="0" wp14:anchorId="07A017A5" wp14:editId="23B7C25A">
            <wp:extent cx="167005" cy="167005"/>
            <wp:effectExtent l="0" t="0" r="10795" b="10795"/>
            <wp:docPr id="5" name="图片 5"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ng.cengage.com/static/nbapps/glossary/images/footstar.png">
                      <a:hlinkClick r:id="rId20"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hyperlink r:id="rId23" w:history="1">
        <w:r w:rsidRPr="00586886">
          <w:rPr>
            <w:rStyle w:val="primaryterm"/>
            <w:rFonts w:ascii="Times New Roman" w:hAnsi="Times New Roman"/>
            <w:b/>
            <w:bCs/>
            <w:color w:val="0081BC"/>
            <w:sz w:val="22"/>
            <w:szCs w:val="22"/>
          </w:rPr>
          <w:t>Financial services corporations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large conglomerates that combine many different financial institutions within a single corporation. Most financial services corporations started in one area but have now diversified to cover most of the financial spectrum. For example, Citigroup owns Citibank (a commercial bank), an investment bank, a securities brokerage organization, insurance companies, and leasing companies.</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Credit unions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cooperative associations whose members are supposed to have a common bond, such as being employees of the same firm. Members’ savings are loaned only to other members, generally for auto purchases, home improvement loans, and home mortgages. Credit unions are often the cheapest source of funds available to individual borrowers.</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Pension funds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retirement plans funded by corporations or government agencies for their workers and administered primarily by the trust departments of commercial banks or by life insurance companies. Pension funds invest primarily in bonds, stocks, mortgages, and real estate.</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Life insurance companies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take savings in the form of annual premiums; invest these funds in stocks, bonds, real estate, and mortgages; and make payments to the beneficiaries of the insured parties. In recent years, life insurance companies have also offered a variety of tax-deferred savings plans designed to provide benefits to participants when they retire.</w:t>
      </w:r>
      <w:bookmarkStart w:id="10" w:name="PageEnd_36"/>
      <w:bookmarkEnd w:id="10"/>
    </w:p>
    <w:p w:rsidR="006D4E15" w:rsidRPr="00586886" w:rsidRDefault="006D4E15" w:rsidP="006D4E15">
      <w:pPr>
        <w:pStyle w:val="a3"/>
        <w:numPr>
          <w:ilvl w:val="0"/>
          <w:numId w:val="4"/>
        </w:numPr>
        <w:shd w:val="clear" w:color="auto" w:fill="FFFFFF"/>
        <w:spacing w:before="0" w:beforeAutospacing="0" w:after="225" w:afterAutospacing="0"/>
        <w:ind w:left="975" w:right="1500"/>
        <w:rPr>
          <w:rFonts w:ascii="Times New Roman" w:hAnsi="Times New Roman"/>
          <w:color w:val="666666"/>
          <w:sz w:val="22"/>
          <w:szCs w:val="22"/>
        </w:rPr>
      </w:pPr>
      <w:hyperlink r:id="rId24" w:history="1">
        <w:r w:rsidRPr="00586886">
          <w:rPr>
            <w:rStyle w:val="primaryterm"/>
            <w:rFonts w:ascii="Times New Roman" w:hAnsi="Times New Roman"/>
            <w:b/>
            <w:bCs/>
            <w:color w:val="0081BC"/>
            <w:sz w:val="22"/>
            <w:szCs w:val="22"/>
          </w:rPr>
          <w:t>Mutual funds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corporations that accept money from savers and then use these funds to buy stocks, long-term bonds, or short-term debt instruments issued by businesses or government units. These organizations pool funds and thus reduce risks by diversification. They also achieve economies of scale in analyzing securities, managing portfolios, and buying and selling securities. Different funds are designed to meet the objectives of different types of savers. Hence, there are bond funds for those who prefer safety, stock funds for savers who are willing to accept significant risks in the hope of higher returns, and</w:t>
      </w:r>
      <w:r w:rsidRPr="00586886">
        <w:rPr>
          <w:rStyle w:val="apple-converted-space"/>
          <w:rFonts w:ascii="Times New Roman" w:hAnsi="Times New Roman"/>
          <w:color w:val="666666"/>
          <w:sz w:val="22"/>
          <w:szCs w:val="22"/>
        </w:rPr>
        <w:t> </w:t>
      </w:r>
      <w:hyperlink r:id="rId25" w:history="1">
        <w:r w:rsidRPr="00586886">
          <w:rPr>
            <w:rStyle w:val="primaryterm"/>
            <w:rFonts w:ascii="Times New Roman" w:hAnsi="Times New Roman"/>
            <w:b/>
            <w:bCs/>
            <w:color w:val="0081BC"/>
            <w:sz w:val="22"/>
            <w:szCs w:val="22"/>
          </w:rPr>
          <w:t>money market funds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that are used as interest-bearing checking accounts.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Another important distinction exists between actively managed funds and indexed funds.</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Actively managed funds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try to outperform the overall markets, </w:t>
      </w:r>
      <w:proofErr w:type="spellStart"/>
      <w:r w:rsidRPr="00586886">
        <w:rPr>
          <w:rFonts w:ascii="Times New Roman" w:hAnsi="Times New Roman"/>
          <w:color w:val="666666"/>
          <w:sz w:val="22"/>
          <w:szCs w:val="22"/>
        </w:rPr>
        <w:t>whereas</w:t>
      </w:r>
      <w:r w:rsidRPr="00586886">
        <w:rPr>
          <w:rStyle w:val="a4"/>
          <w:rFonts w:ascii="Times New Roman" w:hAnsi="Times New Roman"/>
          <w:color w:val="666666"/>
          <w:sz w:val="22"/>
          <w:szCs w:val="22"/>
        </w:rPr>
        <w:t>indexed</w:t>
      </w:r>
      <w:proofErr w:type="spellEnd"/>
      <w:r w:rsidRPr="00586886">
        <w:rPr>
          <w:rStyle w:val="a4"/>
          <w:rFonts w:ascii="Times New Roman" w:hAnsi="Times New Roman"/>
          <w:color w:val="666666"/>
          <w:sz w:val="22"/>
          <w:szCs w:val="22"/>
        </w:rPr>
        <w:t xml:space="preserve"> funds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designed to simply replicate the performance of a specific market index. For example, the portfolio manager of an actively managed stock fund uses his or her expertise to select what he or she thinks will be the best-performing stocks over a given time period. By contrast, an index fund that tracks the S&amp;P 500 index will simply hold the basket of stocks that comprise the S&amp;P 500. Both types of funds provide investors with valuable diversification, but actively managed funds typically have much higher fees—in large part, because of the extra costs involved in trying to select stocks that will (hopefully) outperform the market. In any given year, the very best actively managed funds will outperform the market index, but many will do worse than the overall market—even before taking into account their higher fees. Furthermore, it is extremely difficult to predict which actively managed funds will beat the market in a particular year. For this reason, many academics and practitioners have encouraged investors to rely more heavily on indexed funds.</w:t>
      </w:r>
      <w:r w:rsidRPr="00586886">
        <w:rPr>
          <w:rFonts w:ascii="Times New Roman" w:hAnsi="Times New Roman"/>
          <w:noProof/>
          <w:color w:val="008CD2"/>
          <w:sz w:val="22"/>
          <w:szCs w:val="22"/>
        </w:rPr>
        <w:drawing>
          <wp:inline distT="0" distB="0" distL="0" distR="0" wp14:anchorId="5BA7AD04" wp14:editId="4AA566BE">
            <wp:extent cx="167005" cy="167005"/>
            <wp:effectExtent l="0" t="0" r="10795" b="10795"/>
            <wp:docPr id="6" name="图片 6"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ng.cengage.com/static/nbapps/glossary/images/footstar.png">
                      <a:hlinkClick r:id="rId20"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There are literally thousands of different mutual funds with dozens of different goals and purposes. Excellent information on the objectives and past performances of the various funds are provided in publications such as</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Value Line Investment Survey</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and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Morningstar Mutual Funds,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which are available in most libraries and on the Internet.</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Exchange Traded Funds (ETFs)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similar to regular mutual funds and are often operated by mutual fund companies. ETFs buy a portfolio of stocks of a certain type—for example, the S&amp;P 500 or media companies or Chinese companies—and then sell their own shares to the public. ETF shares are generally traded in the public markets, so an investor who wants to invest in the Chinese market, for example, can buy shares in an ETF that holds stocks in that particular market.</w:t>
      </w:r>
    </w:p>
    <w:p w:rsidR="006D4E15" w:rsidRPr="00586886" w:rsidRDefault="006D4E15" w:rsidP="006D4E15">
      <w:pPr>
        <w:pStyle w:val="a3"/>
        <w:numPr>
          <w:ilvl w:val="0"/>
          <w:numId w:val="4"/>
        </w:numPr>
        <w:shd w:val="clear" w:color="auto" w:fill="FFFFFF"/>
        <w:spacing w:before="0" w:beforeAutospacing="0" w:after="225"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Hedge funds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are also similar to mutual funds because they accept money from savers and use the funds to buy various securities, but there are some important differences. While mutual funds (and ETFs) are registered and regulated by the Securities and Exchange Commission (SEC), hedge funds are largely unregulated. This difference in regulation stems from the fact that mutual funds typically target small investors, whereas hedge funds typically have large minimum investments (often exceeding $1 million) and are marketed primarily to institutions and individuals with high net </w:t>
      </w:r>
      <w:proofErr w:type="spellStart"/>
      <w:r w:rsidRPr="00586886">
        <w:rPr>
          <w:rFonts w:ascii="Times New Roman" w:hAnsi="Times New Roman"/>
          <w:color w:val="666666"/>
          <w:sz w:val="22"/>
          <w:szCs w:val="22"/>
        </w:rPr>
        <w:t>worths</w:t>
      </w:r>
      <w:proofErr w:type="spellEnd"/>
      <w:r w:rsidRPr="00586886">
        <w:rPr>
          <w:rFonts w:ascii="Times New Roman" w:hAnsi="Times New Roman"/>
          <w:color w:val="666666"/>
          <w:sz w:val="22"/>
          <w:szCs w:val="22"/>
        </w:rPr>
        <w:t>. Hedge funds received their name because they traditionally were used when an individual was trying to hedge risks. For example, a hedge</w:t>
      </w:r>
      <w:bookmarkStart w:id="11" w:name="PageEnd_37"/>
      <w:bookmarkEnd w:id="11"/>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fund manager who believes that interest rate differentials between corporate and Treasury bonds are too large might simultaneously buy a portfolio of corporate bonds and sell a portfolio of Treasury bonds. In this case, the portfolio would be “hedged” against overall movements in interest rates, but it would perform especially well if the spread between these securities became smaller.</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However, some hedge funds take on risks that are considerably higher than that of an average individual stock or mutual fund. For example, in 1998, Long-Term Capital Management (LTCM), a high-profile hedge fund (whose managers included several well-respected practitioners as well as two Nobel Prize–winning professors who were experts in investment theory), made some incorrect assumptions and “blew up.”</w:t>
      </w:r>
      <w:r w:rsidRPr="00586886">
        <w:rPr>
          <w:rFonts w:ascii="Times New Roman" w:hAnsi="Times New Roman"/>
          <w:noProof/>
          <w:color w:val="008CD2"/>
          <w:sz w:val="22"/>
          <w:szCs w:val="22"/>
        </w:rPr>
        <w:drawing>
          <wp:inline distT="0" distB="0" distL="0" distR="0" wp14:anchorId="46635D44" wp14:editId="6CFDD62A">
            <wp:extent cx="167005" cy="167005"/>
            <wp:effectExtent l="0" t="0" r="10795" b="10795"/>
            <wp:docPr id="7" name="图片 7"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ng.cengage.com/static/nbapps/glossary/images/footstar.png">
                      <a:hlinkClick r:id="rId20"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LTCM had many billions of dollars under management, and it owed large amounts of money to a number of banks. To avert a worldwide crisis, the Federal Reserve orchestrated a buyout of the firm with a group of New York banks.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hyperlink r:id="rId26" w:history="1">
        <w:r w:rsidRPr="00586886">
          <w:rPr>
            <w:rStyle w:val="a5"/>
            <w:rFonts w:ascii="Times New Roman" w:hAnsi="Times New Roman"/>
            <w:color w:val="008CD2"/>
            <w:sz w:val="22"/>
            <w:szCs w:val="22"/>
          </w:rPr>
          <w:t>Table 2.2</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lists the 10 largest hedge funds as of January 2, 2015. As evidence of their growing importance, each of these funds controls more than $25 billion in assets. As hedge funds have become more popular, many of them have begun to lower their minimum investment requirements. Perhaps not surprisingly, their rapid growth and shift toward smaller investors have also led to a call for more regulation.</w:t>
      </w:r>
    </w:p>
    <w:p w:rsidR="006D4E15" w:rsidRPr="00586886" w:rsidRDefault="006D4E15" w:rsidP="006D4E15">
      <w:pPr>
        <w:pStyle w:val="a3"/>
        <w:numPr>
          <w:ilvl w:val="0"/>
          <w:numId w:val="4"/>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Private equity companies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organizations that operate much like hedge funds; but rather than purchasing some of the stock of a firm, private equity players buy and then manage entire firms. Most of the money used to buy the target companies is borrowed. While private equity activity slowed around the financial crisis, over the past decade a number of high-profile companies (including Harrah’s Entertainment, Albertson’s, Neiman Marcus, and Clear Channel) have been acquired by private equity firms. More recently in 2013, two major deals were announced. Berkshire Hathaway (and its chairman Warren Buffett) partnered with the private equity firm 3G Capital to acquire H.J. Heinz Co. on June 7, 2013, for $28 billion. On October 29, 2013, Dell</w:t>
      </w:r>
      <w:bookmarkStart w:id="12" w:name="PageEnd_38"/>
      <w:bookmarkEnd w:id="12"/>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Computer completed its deal to go private with the assistance of the private equity firm, Silver Lake Partners, for $24.9 billion. Other leading private equity firms include The Carlyle Group, Kohlberg Kravis Roberts, and The Blackstone Group.</w:t>
      </w:r>
    </w:p>
    <w:p w:rsidR="006D4E15" w:rsidRPr="00586886" w:rsidRDefault="006D4E15" w:rsidP="006D4E15">
      <w:pPr>
        <w:spacing w:line="486" w:lineRule="atLeast"/>
        <w:rPr>
          <w:rFonts w:ascii="Times New Roman" w:eastAsia="Times New Roman" w:hAnsi="Times New Roman" w:cs="Times New Roman"/>
          <w:color w:val="666666"/>
          <w:sz w:val="22"/>
          <w:szCs w:val="22"/>
        </w:rPr>
      </w:pPr>
      <w:r w:rsidRPr="00586886">
        <w:rPr>
          <w:rStyle w:val="label"/>
          <w:rFonts w:ascii="Times New Roman" w:eastAsia="Times New Roman" w:hAnsi="Times New Roman" w:cs="Times New Roman"/>
          <w:color w:val="666666"/>
          <w:sz w:val="22"/>
          <w:szCs w:val="22"/>
          <w:shd w:val="clear" w:color="auto" w:fill="80B33D"/>
        </w:rPr>
        <w:t>Table</w:t>
      </w:r>
      <w:r w:rsidRPr="00586886">
        <w:rPr>
          <w:rStyle w:val="apple-converted-space"/>
          <w:rFonts w:ascii="Times New Roman" w:eastAsia="Times New Roman" w:hAnsi="Times New Roman" w:cs="Times New Roman"/>
          <w:color w:val="666666"/>
          <w:sz w:val="22"/>
          <w:szCs w:val="22"/>
          <w:shd w:val="clear" w:color="auto" w:fill="80B33D"/>
        </w:rPr>
        <w:t> </w:t>
      </w:r>
      <w:r w:rsidRPr="00586886">
        <w:rPr>
          <w:rStyle w:val="ordinal"/>
          <w:rFonts w:ascii="Times New Roman" w:eastAsia="Times New Roman" w:hAnsi="Times New Roman" w:cs="Times New Roman"/>
          <w:color w:val="666666"/>
          <w:sz w:val="22"/>
          <w:szCs w:val="22"/>
          <w:shd w:val="clear" w:color="auto" w:fill="80B33D"/>
        </w:rPr>
        <w:t>2.2</w:t>
      </w:r>
    </w:p>
    <w:p w:rsidR="006D4E15" w:rsidRPr="00586886" w:rsidRDefault="006D4E15" w:rsidP="006D4E15">
      <w:pPr>
        <w:pStyle w:val="3"/>
        <w:spacing w:before="0" w:beforeAutospacing="0" w:after="0" w:afterAutospacing="0"/>
        <w:ind w:left="375"/>
        <w:rPr>
          <w:rFonts w:ascii="Times New Roman" w:eastAsia="Times New Roman" w:hAnsi="Times New Roman" w:cs="Times New Roman"/>
          <w:color w:val="666666"/>
          <w:sz w:val="22"/>
          <w:szCs w:val="22"/>
        </w:rPr>
      </w:pPr>
      <w:r w:rsidRPr="00586886">
        <w:rPr>
          <w:rFonts w:ascii="Times New Roman" w:eastAsia="Times New Roman" w:hAnsi="Times New Roman" w:cs="Times New Roman"/>
          <w:color w:val="666666"/>
          <w:sz w:val="22"/>
          <w:szCs w:val="22"/>
        </w:rPr>
        <w:t>Ten Largest Hedge Funds as of January 2, 2015</w:t>
      </w:r>
    </w:p>
    <w:tbl>
      <w:tblPr>
        <w:tblW w:w="7500" w:type="dxa"/>
        <w:tblBorders>
          <w:top w:val="single" w:sz="6" w:space="0" w:color="000000"/>
          <w:bottom w:val="single" w:sz="6" w:space="0" w:color="000000"/>
        </w:tblBorders>
        <w:tblCellMar>
          <w:top w:w="15" w:type="dxa"/>
          <w:left w:w="15" w:type="dxa"/>
          <w:bottom w:w="15" w:type="dxa"/>
          <w:right w:w="15" w:type="dxa"/>
        </w:tblCellMar>
        <w:tblLook w:val="04A0" w:firstRow="1" w:lastRow="0" w:firstColumn="1" w:lastColumn="0" w:noHBand="0" w:noVBand="1"/>
      </w:tblPr>
      <w:tblGrid>
        <w:gridCol w:w="3377"/>
        <w:gridCol w:w="4123"/>
      </w:tblGrid>
      <w:tr w:rsidR="006D4E15" w:rsidRPr="00586886" w:rsidTr="006D4E15">
        <w:trPr>
          <w:tblHeader/>
        </w:trPr>
        <w:tc>
          <w:tcPr>
            <w:tcW w:w="0" w:type="auto"/>
            <w:tcBorders>
              <w:top w:val="nil"/>
              <w:left w:val="nil"/>
              <w:bottom w:val="single" w:sz="6" w:space="0" w:color="696969"/>
              <w:right w:val="nil"/>
            </w:tcBorders>
            <w:shd w:val="clear" w:color="auto" w:fill="E9E9E9"/>
            <w:tcMar>
              <w:top w:w="75" w:type="dxa"/>
              <w:left w:w="75" w:type="dxa"/>
              <w:bottom w:w="75" w:type="dxa"/>
              <w:right w:w="75" w:type="dxa"/>
            </w:tcMar>
            <w:hideMark/>
          </w:tcPr>
          <w:p w:rsidR="006D4E15" w:rsidRPr="00586886" w:rsidRDefault="006D4E15">
            <w:pPr>
              <w:rPr>
                <w:rFonts w:ascii="Times New Roman" w:eastAsia="Times New Roman" w:hAnsi="Times New Roman" w:cs="Times New Roman"/>
                <w:b/>
                <w:bCs/>
                <w:color w:val="696969"/>
                <w:sz w:val="22"/>
                <w:szCs w:val="22"/>
              </w:rPr>
            </w:pPr>
            <w:r w:rsidRPr="00586886">
              <w:rPr>
                <w:rFonts w:ascii="Times New Roman" w:eastAsia="Times New Roman" w:hAnsi="Times New Roman" w:cs="Times New Roman"/>
                <w:b/>
                <w:bCs/>
                <w:color w:val="696969"/>
                <w:sz w:val="22"/>
                <w:szCs w:val="22"/>
              </w:rPr>
              <w:t>Fund</w:t>
            </w:r>
          </w:p>
        </w:tc>
        <w:tc>
          <w:tcPr>
            <w:tcW w:w="0" w:type="auto"/>
            <w:tcBorders>
              <w:top w:val="nil"/>
              <w:left w:val="nil"/>
              <w:bottom w:val="single" w:sz="6" w:space="0" w:color="696969"/>
              <w:right w:val="nil"/>
            </w:tcBorders>
            <w:shd w:val="clear" w:color="auto" w:fill="E9E9E9"/>
            <w:tcMar>
              <w:top w:w="75" w:type="dxa"/>
              <w:left w:w="75" w:type="dxa"/>
              <w:bottom w:w="75" w:type="dxa"/>
              <w:right w:w="345" w:type="dxa"/>
            </w:tcMar>
            <w:hideMark/>
          </w:tcPr>
          <w:p w:rsidR="006D4E15" w:rsidRPr="00586886" w:rsidRDefault="006D4E15">
            <w:pPr>
              <w:jc w:val="center"/>
              <w:rPr>
                <w:rFonts w:ascii="Times New Roman" w:eastAsia="Times New Roman" w:hAnsi="Times New Roman" w:cs="Times New Roman"/>
                <w:b/>
                <w:bCs/>
                <w:color w:val="696969"/>
                <w:sz w:val="22"/>
                <w:szCs w:val="22"/>
              </w:rPr>
            </w:pPr>
            <w:r w:rsidRPr="00586886">
              <w:rPr>
                <w:rFonts w:ascii="Times New Roman" w:eastAsia="Times New Roman" w:hAnsi="Times New Roman" w:cs="Times New Roman"/>
                <w:b/>
                <w:bCs/>
                <w:color w:val="696969"/>
                <w:sz w:val="22"/>
                <w:szCs w:val="22"/>
              </w:rPr>
              <w:t>Assets under Management ($ in billions)</w:t>
            </w:r>
          </w:p>
        </w:tc>
      </w:tr>
      <w:tr w:rsidR="006D4E15" w:rsidRPr="00586886" w:rsidTr="006D4E15">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Bridgewater Associates</w:t>
            </w:r>
          </w:p>
        </w:tc>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169.5</w:t>
            </w:r>
          </w:p>
        </w:tc>
      </w:tr>
      <w:tr w:rsidR="006D4E15" w:rsidRPr="00586886" w:rsidTr="006D4E15">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AQR Capital Management</w:t>
            </w:r>
          </w:p>
        </w:tc>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64.9</w:t>
            </w:r>
          </w:p>
        </w:tc>
      </w:tr>
      <w:tr w:rsidR="006D4E15" w:rsidRPr="00586886" w:rsidTr="006D4E15">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Man Investments</w:t>
            </w:r>
          </w:p>
        </w:tc>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50.0</w:t>
            </w:r>
          </w:p>
        </w:tc>
      </w:tr>
      <w:tr w:rsidR="006D4E15" w:rsidRPr="00586886" w:rsidTr="006D4E15">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proofErr w:type="spellStart"/>
            <w:r w:rsidRPr="00586886">
              <w:rPr>
                <w:rFonts w:ascii="Times New Roman" w:hAnsi="Times New Roman"/>
                <w:color w:val="666666"/>
                <w:sz w:val="22"/>
                <w:szCs w:val="22"/>
              </w:rPr>
              <w:t>Och</w:t>
            </w:r>
            <w:proofErr w:type="spellEnd"/>
            <w:r w:rsidRPr="00586886">
              <w:rPr>
                <w:rFonts w:ascii="Times New Roman" w:hAnsi="Times New Roman"/>
                <w:color w:val="666666"/>
                <w:sz w:val="22"/>
                <w:szCs w:val="22"/>
              </w:rPr>
              <w:t>-Ziff Capital Management Group</w:t>
            </w:r>
          </w:p>
        </w:tc>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47.2</w:t>
            </w:r>
          </w:p>
        </w:tc>
      </w:tr>
      <w:tr w:rsidR="006D4E15" w:rsidRPr="00586886" w:rsidTr="006D4E15">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Standard Life Investments</w:t>
            </w:r>
          </w:p>
        </w:tc>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35.3</w:t>
            </w:r>
          </w:p>
        </w:tc>
      </w:tr>
      <w:tr w:rsidR="006D4E15" w:rsidRPr="00586886" w:rsidTr="006D4E15">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proofErr w:type="spellStart"/>
            <w:r w:rsidRPr="00586886">
              <w:rPr>
                <w:rFonts w:ascii="Times New Roman" w:hAnsi="Times New Roman"/>
                <w:color w:val="666666"/>
                <w:sz w:val="22"/>
                <w:szCs w:val="22"/>
              </w:rPr>
              <w:t>BlackRock</w:t>
            </w:r>
            <w:proofErr w:type="spellEnd"/>
            <w:r w:rsidRPr="00586886">
              <w:rPr>
                <w:rFonts w:ascii="Times New Roman" w:hAnsi="Times New Roman"/>
                <w:color w:val="666666"/>
                <w:sz w:val="22"/>
                <w:szCs w:val="22"/>
              </w:rPr>
              <w:t xml:space="preserve"> Alternative Investors</w:t>
            </w:r>
          </w:p>
        </w:tc>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31.8</w:t>
            </w:r>
          </w:p>
        </w:tc>
      </w:tr>
      <w:tr w:rsidR="006D4E15" w:rsidRPr="00586886" w:rsidTr="006D4E15">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Winton Capital Management</w:t>
            </w:r>
          </w:p>
        </w:tc>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31.1</w:t>
            </w:r>
          </w:p>
        </w:tc>
      </w:tr>
      <w:tr w:rsidR="006D4E15" w:rsidRPr="00586886" w:rsidTr="006D4E15">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Viking Global Investors</w:t>
            </w:r>
          </w:p>
        </w:tc>
        <w:tc>
          <w:tcPr>
            <w:tcW w:w="0" w:type="auto"/>
            <w:tcBorders>
              <w:top w:val="nil"/>
              <w:left w:val="nil"/>
              <w:bottom w:val="nil"/>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30.3</w:t>
            </w:r>
          </w:p>
        </w:tc>
      </w:tr>
      <w:tr w:rsidR="006D4E15" w:rsidRPr="00586886" w:rsidTr="006D4E15">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Millennium Management</w:t>
            </w:r>
          </w:p>
        </w:tc>
        <w:tc>
          <w:tcPr>
            <w:tcW w:w="0" w:type="auto"/>
            <w:tcBorders>
              <w:top w:val="nil"/>
              <w:left w:val="nil"/>
              <w:bottom w:val="nil"/>
              <w:right w:val="nil"/>
            </w:tcBorders>
            <w:shd w:val="clear" w:color="auto" w:fill="FFFFFF"/>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29.2</w:t>
            </w:r>
          </w:p>
        </w:tc>
      </w:tr>
      <w:tr w:rsidR="006D4E15" w:rsidRPr="00586886" w:rsidTr="006D4E15">
        <w:tc>
          <w:tcPr>
            <w:tcW w:w="0" w:type="auto"/>
            <w:tcBorders>
              <w:top w:val="nil"/>
              <w:left w:val="nil"/>
              <w:bottom w:val="single" w:sz="6" w:space="0" w:color="696969"/>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rPr>
                <w:rFonts w:ascii="Times New Roman" w:hAnsi="Times New Roman"/>
                <w:color w:val="666666"/>
                <w:sz w:val="22"/>
                <w:szCs w:val="22"/>
              </w:rPr>
            </w:pPr>
            <w:r w:rsidRPr="00586886">
              <w:rPr>
                <w:rFonts w:ascii="Times New Roman" w:hAnsi="Times New Roman"/>
                <w:color w:val="666666"/>
                <w:sz w:val="22"/>
                <w:szCs w:val="22"/>
              </w:rPr>
              <w:t>Lone Pine Capital</w:t>
            </w:r>
          </w:p>
        </w:tc>
        <w:tc>
          <w:tcPr>
            <w:tcW w:w="0" w:type="auto"/>
            <w:tcBorders>
              <w:top w:val="nil"/>
              <w:left w:val="nil"/>
              <w:bottom w:val="single" w:sz="6" w:space="0" w:color="696969"/>
              <w:right w:val="nil"/>
            </w:tcBorders>
            <w:shd w:val="clear" w:color="auto" w:fill="EEF7FC"/>
            <w:tcMar>
              <w:top w:w="75" w:type="dxa"/>
              <w:left w:w="75" w:type="dxa"/>
              <w:bottom w:w="75" w:type="dxa"/>
              <w:right w:w="75" w:type="dxa"/>
            </w:tcMar>
            <w:hideMark/>
          </w:tcPr>
          <w:p w:rsidR="006D4E15" w:rsidRPr="00586886" w:rsidRDefault="006D4E15">
            <w:pPr>
              <w:pStyle w:val="a3"/>
              <w:spacing w:before="0" w:beforeAutospacing="0" w:after="0" w:afterAutospacing="0"/>
              <w:jc w:val="center"/>
              <w:rPr>
                <w:rFonts w:ascii="Times New Roman" w:hAnsi="Times New Roman"/>
                <w:color w:val="666666"/>
                <w:sz w:val="22"/>
                <w:szCs w:val="22"/>
              </w:rPr>
            </w:pPr>
            <w:r w:rsidRPr="00586886">
              <w:rPr>
                <w:rFonts w:ascii="Times New Roman" w:hAnsi="Times New Roman"/>
                <w:color w:val="666666"/>
                <w:sz w:val="22"/>
                <w:szCs w:val="22"/>
              </w:rPr>
              <w:t>  29.0</w:t>
            </w:r>
          </w:p>
        </w:tc>
      </w:tr>
    </w:tbl>
    <w:p w:rsidR="006D4E15" w:rsidRPr="00586886" w:rsidRDefault="006D4E15" w:rsidP="006D4E15">
      <w:pPr>
        <w:shd w:val="clear" w:color="auto" w:fill="FFFFFF"/>
        <w:spacing w:line="486" w:lineRule="atLeast"/>
        <w:rPr>
          <w:rFonts w:ascii="Times New Roman" w:eastAsia="Times New Roman" w:hAnsi="Times New Roman" w:cs="Times New Roman"/>
          <w:color w:val="666666"/>
          <w:sz w:val="22"/>
          <w:szCs w:val="22"/>
        </w:rPr>
      </w:pPr>
      <w:r w:rsidRPr="00586886">
        <w:rPr>
          <w:rFonts w:ascii="Times New Roman" w:eastAsia="Times New Roman" w:hAnsi="Times New Roman" w:cs="Times New Roman"/>
          <w:noProof/>
          <w:color w:val="666666"/>
          <w:sz w:val="22"/>
          <w:szCs w:val="22"/>
        </w:rPr>
        <w:drawing>
          <wp:inline distT="0" distB="0" distL="0" distR="0" wp14:anchorId="610DE8A4" wp14:editId="6DA2BE42">
            <wp:extent cx="262255" cy="262255"/>
            <wp:effectExtent l="0" t="0" r="0" b="0"/>
            <wp:docPr id="8" name="图片 8" descr="nlarge 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nlarge Tab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255" cy="262255"/>
                    </a:xfrm>
                    <a:prstGeom prst="rect">
                      <a:avLst/>
                    </a:prstGeom>
                    <a:noFill/>
                    <a:ln>
                      <a:noFill/>
                    </a:ln>
                  </pic:spPr>
                </pic:pic>
              </a:graphicData>
            </a:graphic>
          </wp:inline>
        </w:drawing>
      </w:r>
    </w:p>
    <w:p w:rsidR="006D4E15" w:rsidRPr="00586886" w:rsidRDefault="006D4E15" w:rsidP="006D4E15">
      <w:pPr>
        <w:shd w:val="clear" w:color="auto" w:fill="FFFFFF"/>
        <w:spacing w:line="486" w:lineRule="atLeast"/>
        <w:rPr>
          <w:rFonts w:ascii="Times New Roman" w:eastAsia="Times New Roman" w:hAnsi="Times New Roman" w:cs="Times New Roman"/>
          <w:color w:val="666666"/>
          <w:sz w:val="22"/>
          <w:szCs w:val="22"/>
        </w:rPr>
      </w:pPr>
      <w:r w:rsidRPr="00586886">
        <w:rPr>
          <w:rStyle w:val="reference"/>
          <w:rFonts w:ascii="Times New Roman" w:eastAsia="Times New Roman" w:hAnsi="Times New Roman" w:cs="Times New Roman"/>
          <w:color w:val="666666"/>
          <w:sz w:val="22"/>
          <w:szCs w:val="22"/>
        </w:rPr>
        <w:t>Source: Michelle Jones, “Biggest Hedge Funds Nab (Almost) All of the Assets,”</w:t>
      </w:r>
      <w:r w:rsidRPr="00586886">
        <w:rPr>
          <w:rStyle w:val="apple-converted-space"/>
          <w:rFonts w:ascii="Times New Roman" w:eastAsia="Times New Roman" w:hAnsi="Times New Roman" w:cs="Times New Roman"/>
          <w:color w:val="666666"/>
          <w:sz w:val="22"/>
          <w:szCs w:val="22"/>
        </w:rPr>
        <w:t> </w:t>
      </w:r>
      <w:proofErr w:type="spellStart"/>
      <w:r w:rsidRPr="00586886">
        <w:rPr>
          <w:rStyle w:val="a4"/>
          <w:rFonts w:ascii="Times New Roman" w:eastAsia="Times New Roman" w:hAnsi="Times New Roman" w:cs="Times New Roman"/>
          <w:color w:val="666666"/>
          <w:sz w:val="22"/>
          <w:szCs w:val="22"/>
        </w:rPr>
        <w:t>ValueWalk</w:t>
      </w:r>
      <w:proofErr w:type="spellEnd"/>
      <w:r w:rsidRPr="00586886">
        <w:rPr>
          <w:rStyle w:val="apple-converted-space"/>
          <w:rFonts w:ascii="Times New Roman" w:eastAsia="Times New Roman" w:hAnsi="Times New Roman" w:cs="Times New Roman"/>
          <w:color w:val="666666"/>
          <w:sz w:val="22"/>
          <w:szCs w:val="22"/>
        </w:rPr>
        <w:t> </w:t>
      </w:r>
      <w:r w:rsidRPr="00586886">
        <w:rPr>
          <w:rStyle w:val="reference"/>
          <w:rFonts w:ascii="Times New Roman" w:eastAsia="Times New Roman" w:hAnsi="Times New Roman" w:cs="Times New Roman"/>
          <w:color w:val="666666"/>
          <w:sz w:val="22"/>
          <w:szCs w:val="22"/>
        </w:rPr>
        <w:t>(</w:t>
      </w:r>
      <w:r w:rsidRPr="00586886">
        <w:rPr>
          <w:rStyle w:val="apple-converted-space"/>
          <w:rFonts w:ascii="Times New Roman" w:eastAsia="Times New Roman" w:hAnsi="Times New Roman" w:cs="Times New Roman"/>
          <w:color w:val="666666"/>
          <w:sz w:val="22"/>
          <w:szCs w:val="22"/>
        </w:rPr>
        <w:t> </w:t>
      </w:r>
      <w:bookmarkStart w:id="13" w:name="XWWMQX263687741"/>
      <w:r w:rsidRPr="00586886">
        <w:rPr>
          <w:rStyle w:val="reference"/>
          <w:rFonts w:ascii="Times New Roman" w:eastAsia="Times New Roman" w:hAnsi="Times New Roman" w:cs="Times New Roman"/>
          <w:color w:val="666666"/>
          <w:sz w:val="22"/>
          <w:szCs w:val="22"/>
        </w:rPr>
        <w:fldChar w:fldCharType="begin"/>
      </w:r>
      <w:r w:rsidRPr="00586886">
        <w:rPr>
          <w:rStyle w:val="reference"/>
          <w:rFonts w:ascii="Times New Roman" w:eastAsia="Times New Roman" w:hAnsi="Times New Roman" w:cs="Times New Roman"/>
          <w:color w:val="666666"/>
          <w:sz w:val="22"/>
          <w:szCs w:val="22"/>
        </w:rPr>
        <w:instrText xml:space="preserve"> HYPERLINK "http://www.valuewalk.com/" \t "_blank" </w:instrText>
      </w:r>
      <w:r w:rsidRPr="00586886">
        <w:rPr>
          <w:rStyle w:val="reference"/>
          <w:rFonts w:ascii="Times New Roman" w:eastAsia="Times New Roman" w:hAnsi="Times New Roman" w:cs="Times New Roman"/>
          <w:color w:val="666666"/>
          <w:sz w:val="22"/>
          <w:szCs w:val="22"/>
        </w:rPr>
      </w:r>
      <w:r w:rsidRPr="00586886">
        <w:rPr>
          <w:rStyle w:val="reference"/>
          <w:rFonts w:ascii="Times New Roman" w:eastAsia="Times New Roman" w:hAnsi="Times New Roman" w:cs="Times New Roman"/>
          <w:color w:val="666666"/>
          <w:sz w:val="22"/>
          <w:szCs w:val="22"/>
        </w:rPr>
        <w:fldChar w:fldCharType="separate"/>
      </w:r>
      <w:r w:rsidRPr="00586886">
        <w:rPr>
          <w:rStyle w:val="a5"/>
          <w:rFonts w:ascii="Times New Roman" w:eastAsia="Times New Roman" w:hAnsi="Times New Roman" w:cs="Times New Roman"/>
          <w:color w:val="008CD2"/>
          <w:sz w:val="22"/>
          <w:szCs w:val="22"/>
        </w:rPr>
        <w:t>www.valuewalk.com</w:t>
      </w:r>
      <w:r w:rsidRPr="00586886">
        <w:rPr>
          <w:rStyle w:val="reference"/>
          <w:rFonts w:ascii="Times New Roman" w:eastAsia="Times New Roman" w:hAnsi="Times New Roman" w:cs="Times New Roman"/>
          <w:color w:val="666666"/>
          <w:sz w:val="22"/>
          <w:szCs w:val="22"/>
        </w:rPr>
        <w:fldChar w:fldCharType="end"/>
      </w:r>
      <w:bookmarkEnd w:id="13"/>
      <w:r w:rsidRPr="00586886">
        <w:rPr>
          <w:rStyle w:val="reference"/>
          <w:rFonts w:ascii="Times New Roman" w:eastAsia="Times New Roman" w:hAnsi="Times New Roman" w:cs="Times New Roman"/>
          <w:color w:val="666666"/>
          <w:sz w:val="22"/>
          <w:szCs w:val="22"/>
        </w:rPr>
        <w:t>), May 27, 2015.</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With the exception of hedge funds and private equity companies, financial institutions are regulated to ensure the safety of these institutions and to protect investors. Historically, many of these regulations—which have included a prohibition on nationwide branch banking, restrictions on the types of assets the institutions could purchase, ceilings on the interest rates they could pay, and limitations on the types of services they could provide—tended to impede the free flow of capital and thus hurt the efficiency of the capital markets. Recognizing this fact, policymakers took several steps during the 1980s and 1990s to deregulate financial services companies. For example, the restriction barring nationwide branching by banks was eliminated in 1999.</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Many believed that excessive deregulation and insufficient supervision of the financial sector was partially responsible for the 2007–2008 financial crisis. With these concerns in mind, Congress passed the Dodd-Frank Act. The legislation’s main goals are to create a new agency for consumer protection, work to increase the transparency of derivative transactions, and force financial institutions to take steps to limit excessive risk taking and to hold more capital.</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Panel A of</w:t>
      </w:r>
      <w:r w:rsidRPr="00586886">
        <w:rPr>
          <w:rStyle w:val="apple-converted-space"/>
          <w:rFonts w:ascii="Times New Roman" w:hAnsi="Times New Roman"/>
          <w:color w:val="666666"/>
          <w:sz w:val="22"/>
          <w:szCs w:val="22"/>
        </w:rPr>
        <w:t> </w:t>
      </w:r>
      <w:hyperlink r:id="rId27" w:history="1">
        <w:r w:rsidRPr="00586886">
          <w:rPr>
            <w:rStyle w:val="a5"/>
            <w:rFonts w:ascii="Times New Roman" w:hAnsi="Times New Roman"/>
            <w:color w:val="008CD2"/>
            <w:sz w:val="22"/>
            <w:szCs w:val="22"/>
          </w:rPr>
          <w:t>Table 2.3</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lists the 10 largest U.S. bank holding companies, and Panel B shows the leading world banking companies. Among the world’s 10 largest, only one is based in the United States. While U.S. banks have grown dramatically as a result of recent mergers, they are still small by global standards. Panel C of the table lists the 10 leading global IPO underwriters in terms of dollar volume of new equity issues. Seven of the top underwriters are also listed as major commercial banks or are part of bank holding companies shown in Panels A and B, which confirms the continued blurring of distinctions between different types of financial institutions.</w:t>
      </w:r>
    </w:p>
    <w:p w:rsidR="006D4E15" w:rsidRPr="00586886" w:rsidRDefault="006D4E15" w:rsidP="006D4E15">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2-4</w:t>
      </w:r>
      <w:r w:rsidRPr="00586886">
        <w:rPr>
          <w:rStyle w:val="headingtext"/>
          <w:rFonts w:ascii="Times New Roman" w:eastAsia="Times New Roman" w:hAnsi="Times New Roman" w:cs="Times New Roman"/>
          <w:b w:val="0"/>
          <w:bCs w:val="0"/>
          <w:color w:val="007DB8"/>
          <w:sz w:val="22"/>
          <w:szCs w:val="22"/>
        </w:rPr>
        <w:t>The Stock Market</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As noted earlier, outstanding, previously issued securities are traded in the secondary markets. By far, the most active secondary market—and the most important one to financial managers—is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stock market,</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where the prices of firms’ stocks are established. Because the primary goal of financial managers is to maximize their firms’ stock prices, knowledge of the stock market is important to anyone involved in managing a business.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There are a number of different stock markets. The two leaders are NYSE Euronext and NASDAQ. NYSE Euronext was formed through the 2007 merger of the New York Stock Exchange (NYSE) and Euronext, which at the time was the largest European exchange. Stocks are traded using a variety of market procedures, but there are two basic types: (1)</w:t>
      </w:r>
      <w:r w:rsidRPr="00586886">
        <w:rPr>
          <w:rStyle w:val="a4"/>
          <w:rFonts w:ascii="Times New Roman" w:hAnsi="Times New Roman"/>
          <w:color w:val="666666"/>
          <w:sz w:val="22"/>
          <w:szCs w:val="22"/>
        </w:rPr>
        <w:t>physical location exchanges,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which include the NYSE and several regional stock exchanges, and (2)</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electronic dealer-based markets,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which include the NASDAQ, the less formal over-the-counter market, and the recently developed electronic communications networks (ECNs).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(See the box titled “</w:t>
      </w:r>
      <w:hyperlink r:id="rId28" w:history="1">
        <w:r w:rsidRPr="00586886">
          <w:rPr>
            <w:rStyle w:val="a5"/>
            <w:rFonts w:ascii="Times New Roman" w:hAnsi="Times New Roman"/>
            <w:color w:val="008CD2"/>
            <w:sz w:val="22"/>
            <w:szCs w:val="22"/>
          </w:rPr>
          <w:t>The NYSE and NASDAQ Go Global</w:t>
        </w:r>
      </w:hyperlink>
      <w:r w:rsidRPr="00586886">
        <w:rPr>
          <w:rFonts w:ascii="Times New Roman" w:hAnsi="Times New Roman"/>
          <w:color w:val="666666"/>
          <w:sz w:val="22"/>
          <w:szCs w:val="22"/>
        </w:rPr>
        <w:t>.”) Because the physical location exchanges are easier to describe and understand, we discuss them first.</w:t>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2-4A</w:t>
      </w:r>
      <w:r w:rsidRPr="00586886">
        <w:rPr>
          <w:rStyle w:val="headingtext"/>
          <w:rFonts w:ascii="Times New Roman" w:eastAsia="Times New Roman" w:hAnsi="Times New Roman" w:cs="Times New Roman"/>
          <w:color w:val="DF7300"/>
          <w:sz w:val="22"/>
          <w:szCs w:val="22"/>
        </w:rPr>
        <w:t>Physical Location Stock Exchanges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hyperlink r:id="rId29" w:history="1">
        <w:r w:rsidRPr="00586886">
          <w:rPr>
            <w:rStyle w:val="primaryterm"/>
            <w:rFonts w:ascii="Times New Roman" w:hAnsi="Times New Roman"/>
            <w:b/>
            <w:bCs/>
            <w:color w:val="0081BC"/>
            <w:sz w:val="22"/>
            <w:szCs w:val="22"/>
          </w:rPr>
          <w:t>Physical location exchanges</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are tangible entities. Each of the larger exchanges occupies its own building, allows a limited number of people to trade on its floor, and has an elected governing body—its board of governors. Members of the NYSE formerly had “seats” on the exchange, although everybody stood. Today the seats have been exchanged for trading licenses, which are auctioned to member organizations and cost about $50,000 per year. Most of the larger investment banks operate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brokerage departments.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They purchase seats on the exchanges and designate one or more of their officers as members. The exchanges are open on all normal working days, with the members meeting in a large room equipped with telephones and other electronic equipment that enable each member to communicate with his or her firm’s offices throughout the country.</w:t>
      </w:r>
    </w:p>
    <w:p w:rsidR="006D4E15" w:rsidRPr="00586886" w:rsidRDefault="006D4E15" w:rsidP="006D4E15">
      <w:pPr>
        <w:pStyle w:val="a3"/>
        <w:shd w:val="clear" w:color="auto" w:fill="FFFFFF"/>
        <w:spacing w:before="0" w:beforeAutospacing="0" w:after="225" w:afterAutospacing="0"/>
        <w:ind w:left="975" w:right="1500"/>
        <w:rPr>
          <w:rStyle w:val="a4"/>
          <w:rFonts w:ascii="Times New Roman" w:hAnsi="Times New Roman"/>
          <w:color w:val="666666"/>
          <w:sz w:val="22"/>
          <w:szCs w:val="22"/>
        </w:rPr>
      </w:pPr>
      <w:r w:rsidRPr="00586886">
        <w:rPr>
          <w:rFonts w:ascii="Times New Roman" w:hAnsi="Times New Roman"/>
          <w:color w:val="666666"/>
          <w:sz w:val="22"/>
          <w:szCs w:val="22"/>
        </w:rPr>
        <w:t>Like other markets, security exchanges facilitate communication between buyers and sellers. For example, Goldman Sachs (the fifth-largest brokerage firm) might receive an order from a customer who wants to buy shares of GE stock. Simultaneously, Morgan Stanley (the second-largest brokerage firm) might receive an order from a customer wanting to sell shares of GE. Each broker communicates electronically with the firm’s representative on the NYSE. Other brokers throughout the country are also communicating with their own exchange members. The exchange members with</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sell orders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offer the shares for sale, and they are bid for by the members with</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 xml:space="preserve">buy </w:t>
      </w:r>
      <w:proofErr w:type="spellStart"/>
      <w:r w:rsidRPr="00586886">
        <w:rPr>
          <w:rStyle w:val="a4"/>
          <w:rFonts w:ascii="Times New Roman" w:hAnsi="Times New Roman"/>
          <w:color w:val="666666"/>
          <w:sz w:val="22"/>
          <w:szCs w:val="22"/>
        </w:rPr>
        <w:t>orders.</w:t>
      </w:r>
      <w:r w:rsidRPr="00586886">
        <w:rPr>
          <w:rFonts w:ascii="Times New Roman" w:hAnsi="Times New Roman"/>
          <w:color w:val="666666"/>
          <w:sz w:val="22"/>
          <w:szCs w:val="22"/>
        </w:rPr>
        <w:t>Thus</w:t>
      </w:r>
      <w:proofErr w:type="spellEnd"/>
      <w:r w:rsidRPr="00586886">
        <w:rPr>
          <w:rFonts w:ascii="Times New Roman" w:hAnsi="Times New Roman"/>
          <w:color w:val="666666"/>
          <w:sz w:val="22"/>
          <w:szCs w:val="22"/>
        </w:rPr>
        <w:t>, the exchanges operate as</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auction markets.</w:t>
      </w:r>
      <w:r w:rsidRPr="00586886">
        <w:rPr>
          <w:rFonts w:ascii="Times New Roman" w:hAnsi="Times New Roman"/>
          <w:noProof/>
          <w:color w:val="008CD2"/>
          <w:sz w:val="22"/>
          <w:szCs w:val="22"/>
        </w:rPr>
        <w:drawing>
          <wp:inline distT="0" distB="0" distL="0" distR="0" wp14:anchorId="1769CC49" wp14:editId="50CECBFC">
            <wp:extent cx="167005" cy="167005"/>
            <wp:effectExtent l="0" t="0" r="10795" b="10795"/>
            <wp:docPr id="13" name="图片 13"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ng.cengage.com/static/nbapps/glossary/images/footstar.png">
                      <a:hlinkClick r:id="rId20"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2-4B</w:t>
      </w:r>
      <w:r w:rsidRPr="00586886">
        <w:rPr>
          <w:rStyle w:val="headingtext"/>
          <w:rFonts w:ascii="Times New Roman" w:eastAsia="Times New Roman" w:hAnsi="Times New Roman" w:cs="Times New Roman"/>
          <w:color w:val="DF7300"/>
          <w:sz w:val="22"/>
          <w:szCs w:val="22"/>
        </w:rPr>
        <w:t>Over-the-Counter (OTC) and the NASDAQ Stock Markets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Although the stocks of most large companies trade on the NYSE, a larger number of stocks trade off the exchange in what was traditionally referred to as the</w:t>
      </w:r>
      <w:r w:rsidRPr="00586886">
        <w:rPr>
          <w:rStyle w:val="apple-converted-space"/>
          <w:rFonts w:ascii="Times New Roman" w:hAnsi="Times New Roman"/>
          <w:color w:val="666666"/>
          <w:sz w:val="22"/>
          <w:szCs w:val="22"/>
        </w:rPr>
        <w:t> </w:t>
      </w:r>
      <w:hyperlink r:id="rId30" w:history="1">
        <w:r w:rsidRPr="00586886">
          <w:rPr>
            <w:rStyle w:val="primaryterm"/>
            <w:rFonts w:ascii="Times New Roman" w:hAnsi="Times New Roman"/>
            <w:b/>
            <w:bCs/>
            <w:color w:val="0081BC"/>
            <w:sz w:val="22"/>
            <w:szCs w:val="22"/>
          </w:rPr>
          <w:t>over-the-counter (OTC) market</w:t>
        </w:r>
      </w:hyperlink>
      <w:r w:rsidRPr="00586886">
        <w:rPr>
          <w:rFonts w:ascii="Times New Roman" w:hAnsi="Times New Roman"/>
          <w:color w:val="666666"/>
          <w:sz w:val="22"/>
          <w:szCs w:val="22"/>
        </w:rPr>
        <w:t>. An explanation of the term</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over-the-counter</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will help clarify how this term arose. As noted earlier, the exchanges operate as auction markets—buy and sell orders come in more or less simultaneously, and exchange members match these orders. When a stock is traded infrequently, perhaps because the firm is new or small, few buy and sell orders come in, and matching them within a reasonable amount of time is difficult. To avoid this problem, some brokerage firms maintain an inventory of such stocks and stand prepared to make a market for them. These “dealers” buy when individual investors want to sell, and they sell part of their inventory when investors want to buy. At one time, the inventory of securities was kept in a safe; and the stocks, when bought and sold, were literally passed over the counter.</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Today these markets are often referred to as</w:t>
      </w:r>
      <w:r w:rsidRPr="00586886">
        <w:rPr>
          <w:rStyle w:val="apple-converted-space"/>
          <w:rFonts w:ascii="Times New Roman" w:hAnsi="Times New Roman"/>
          <w:color w:val="666666"/>
          <w:sz w:val="22"/>
          <w:szCs w:val="22"/>
        </w:rPr>
        <w:t> </w:t>
      </w:r>
      <w:hyperlink r:id="rId31" w:history="1">
        <w:r w:rsidRPr="00586886">
          <w:rPr>
            <w:rStyle w:val="primaryterm"/>
            <w:rFonts w:ascii="Times New Roman" w:hAnsi="Times New Roman"/>
            <w:b/>
            <w:bCs/>
            <w:color w:val="0081BC"/>
            <w:sz w:val="22"/>
            <w:szCs w:val="22"/>
          </w:rPr>
          <w:t>dealer markets</w:t>
        </w:r>
      </w:hyperlink>
      <w:r w:rsidRPr="00586886">
        <w:rPr>
          <w:rFonts w:ascii="Times New Roman" w:hAnsi="Times New Roman"/>
          <w:color w:val="666666"/>
          <w:sz w:val="22"/>
          <w:szCs w:val="22"/>
        </w:rPr>
        <w:t>. A dealer market includes all facilities that are needed to conduct security transactions, but the transactions are not made on the physical location exchanges. The dealer market system consists of (1) the relatively few</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dealers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who hold inventories of these securities and who are said to “make a market” in these securities; (2) the thousands of brokers who act as</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agents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in bringing the dealers together with investors; and (3) the computers, terminals, and electronic networks that provide a communication link between dealers and brokers. The dealers who make a market in a particular stock quote the price at which they will pay for the stock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bid price</w:t>
      </w:r>
      <w:r w:rsidRPr="00586886">
        <w:rPr>
          <w:rFonts w:ascii="Times New Roman" w:hAnsi="Times New Roman"/>
          <w:color w:val="666666"/>
          <w:sz w:val="22"/>
          <w:szCs w:val="22"/>
        </w:rPr>
        <w:t>) and the price at which they will sell shares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ask price</w:t>
      </w:r>
      <w:r w:rsidRPr="00586886">
        <w:rPr>
          <w:rFonts w:ascii="Times New Roman" w:hAnsi="Times New Roman"/>
          <w:color w:val="666666"/>
          <w:sz w:val="22"/>
          <w:szCs w:val="22"/>
        </w:rPr>
        <w:t>). Each dealer’s prices, which are adjusted as supply and demand conditions change, can be seen on computer screens across</w:t>
      </w:r>
      <w:bookmarkStart w:id="14" w:name="PageEnd_42"/>
      <w:bookmarkEnd w:id="14"/>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world.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bid-ask spread,</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which is the difference between bid and ask prices, represents the dealer’s markup, or profit. The dealer’s risk increases when the stock is more volatile or when the stock trades infrequently. Generally, we would expect volatile, infrequently traded stocks to have wider spreads in order to compensate the dealers for assuming the risk of holding them in inventory.</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Brokers and dealers who participate in the OTC market are members of a self-regulatory body known as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Financial Industry Regulatory Authority</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(FINRA), which licenses brokers and oversees trading practices. The computerized network used by FINRA is known as NASDAQ, which originally stood for “National Association of Securities Dealers Automated Quotations.”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NASDAQ started as a quotation system, but it has grown to become an organized securities market with its own listing requirements. Over the past decade, the competition between the NYSE and NASDAQ has become increasingly fierce. As noted earlier, the NASDAQ has invested in the London Stock Exchange and other market makers, while the NYSE merged with Euronext (which was later spun off) and was purchased by Intercontinental Exchange—further adding to the competition. Because most of the larger companies trade on the NYSE, the market capitalization of NYSE-traded stocks is much higher than for stocks traded on NASDAQ.</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Interestingly, many high-tech companies such as Microsoft, Google, and Intel have remained on NASDAQ even though they meet the listing requirements of the NYSE. At the same time, however, other high-tech companies have left NASDAQ for the NYSE. Despite these defections, NASDAQ’s growth over the past decade has been impressive. In the years ahead, competition between NASDAQ and NYSE will no doubt remain fierce.</w:t>
      </w:r>
    </w:p>
    <w:p w:rsidR="006D4E15" w:rsidRPr="00586886" w:rsidRDefault="006D4E15" w:rsidP="006D4E15">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2-5</w:t>
      </w:r>
      <w:r w:rsidRPr="00586886">
        <w:rPr>
          <w:rStyle w:val="headingtext"/>
          <w:rFonts w:ascii="Times New Roman" w:eastAsia="Times New Roman" w:hAnsi="Times New Roman" w:cs="Times New Roman"/>
          <w:b w:val="0"/>
          <w:bCs w:val="0"/>
          <w:color w:val="007DB8"/>
          <w:sz w:val="22"/>
          <w:szCs w:val="22"/>
        </w:rPr>
        <w:t>The Market for Common Stock</w:t>
      </w:r>
    </w:p>
    <w:p w:rsidR="006D4E15" w:rsidRPr="00586886" w:rsidRDefault="006D4E15" w:rsidP="006D4E15">
      <w:pPr>
        <w:pStyle w:val="a3"/>
        <w:shd w:val="clear" w:color="auto" w:fill="FFFFFF"/>
        <w:spacing w:before="0" w:beforeAutospacing="0" w:after="225" w:afterAutospacing="0"/>
        <w:ind w:left="975" w:right="1500"/>
        <w:rPr>
          <w:rStyle w:val="a4"/>
          <w:rFonts w:ascii="Times New Roman" w:hAnsi="Times New Roman"/>
          <w:color w:val="666666"/>
          <w:sz w:val="22"/>
          <w:szCs w:val="22"/>
        </w:rPr>
      </w:pPr>
      <w:r w:rsidRPr="00586886">
        <w:rPr>
          <w:rFonts w:ascii="Times New Roman" w:hAnsi="Times New Roman"/>
          <w:color w:val="666666"/>
          <w:sz w:val="22"/>
          <w:szCs w:val="22"/>
        </w:rPr>
        <w:t>Some companies are so small that their common stocks are not actively traded; they are owned by relatively few people, usually the companies’ managers. These firms are said to be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privately owned,</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or</w:t>
      </w:r>
      <w:r w:rsidRPr="00586886">
        <w:rPr>
          <w:rStyle w:val="apple-converted-space"/>
          <w:rFonts w:ascii="Times New Roman" w:hAnsi="Times New Roman"/>
          <w:color w:val="666666"/>
          <w:sz w:val="22"/>
          <w:szCs w:val="22"/>
        </w:rPr>
        <w:t> </w:t>
      </w:r>
      <w:hyperlink r:id="rId32" w:history="1">
        <w:r w:rsidRPr="00586886">
          <w:rPr>
            <w:rStyle w:val="primaryterm"/>
            <w:rFonts w:ascii="Times New Roman" w:hAnsi="Times New Roman"/>
            <w:b/>
            <w:bCs/>
            <w:color w:val="0081BC"/>
            <w:sz w:val="22"/>
            <w:szCs w:val="22"/>
          </w:rPr>
          <w:t>closely held, corporations</w:t>
        </w:r>
      </w:hyperlink>
      <w:r w:rsidRPr="00586886">
        <w:rPr>
          <w:rFonts w:ascii="Times New Roman" w:hAnsi="Times New Roman"/>
          <w:color w:val="666666"/>
          <w:sz w:val="22"/>
          <w:szCs w:val="22"/>
        </w:rPr>
        <w:t>; and their stock is called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closely held stock.</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In contrast, the stocks of most large companies are owned by thousands of investors, most of whom are not active in management. These companies are </w:t>
      </w:r>
      <w:proofErr w:type="spellStart"/>
      <w:r w:rsidRPr="00586886">
        <w:rPr>
          <w:rFonts w:ascii="Times New Roman" w:hAnsi="Times New Roman"/>
          <w:color w:val="666666"/>
          <w:sz w:val="22"/>
          <w:szCs w:val="22"/>
        </w:rPr>
        <w:t>called</w:t>
      </w:r>
      <w:hyperlink r:id="rId33" w:history="1">
        <w:r w:rsidRPr="00586886">
          <w:rPr>
            <w:rStyle w:val="primaryterm"/>
            <w:rFonts w:ascii="Times New Roman" w:hAnsi="Times New Roman"/>
            <w:b/>
            <w:bCs/>
            <w:color w:val="0081BC"/>
            <w:sz w:val="22"/>
            <w:szCs w:val="22"/>
          </w:rPr>
          <w:t>publicly</w:t>
        </w:r>
        <w:proofErr w:type="spellEnd"/>
        <w:r w:rsidRPr="00586886">
          <w:rPr>
            <w:rStyle w:val="primaryterm"/>
            <w:rFonts w:ascii="Times New Roman" w:hAnsi="Times New Roman"/>
            <w:b/>
            <w:bCs/>
            <w:color w:val="0081BC"/>
            <w:sz w:val="22"/>
            <w:szCs w:val="22"/>
          </w:rPr>
          <w:t xml:space="preserve"> owned corporations</w:t>
        </w:r>
      </w:hyperlink>
      <w:r w:rsidRPr="00586886">
        <w:rPr>
          <w:rFonts w:ascii="Times New Roman" w:hAnsi="Times New Roman"/>
          <w:color w:val="666666"/>
          <w:sz w:val="22"/>
          <w:szCs w:val="22"/>
        </w:rPr>
        <w:t>, and their stock is called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publicly held stock.</w:t>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2-5A</w:t>
      </w:r>
      <w:r w:rsidRPr="00586886">
        <w:rPr>
          <w:rStyle w:val="headingtext"/>
          <w:rFonts w:ascii="Times New Roman" w:eastAsia="Times New Roman" w:hAnsi="Times New Roman" w:cs="Times New Roman"/>
          <w:color w:val="DF7300"/>
          <w:sz w:val="22"/>
          <w:szCs w:val="22"/>
        </w:rPr>
        <w:t>Types of Stock Market Transactions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We can classify stock market transactions into three distinct categories:</w:t>
      </w:r>
    </w:p>
    <w:p w:rsidR="006D4E15" w:rsidRPr="00586886" w:rsidRDefault="006D4E15" w:rsidP="006D4E15">
      <w:pPr>
        <w:pStyle w:val="a3"/>
        <w:numPr>
          <w:ilvl w:val="0"/>
          <w:numId w:val="5"/>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Outstanding shares of established publicly owned companies that are traded: the secondary market.</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Allied Food Products, the company we study in</w:t>
      </w:r>
      <w:r w:rsidRPr="00586886">
        <w:rPr>
          <w:rStyle w:val="apple-converted-space"/>
          <w:rFonts w:ascii="Times New Roman" w:hAnsi="Times New Roman"/>
          <w:color w:val="666666"/>
          <w:sz w:val="22"/>
          <w:szCs w:val="22"/>
        </w:rPr>
        <w:t> </w:t>
      </w:r>
      <w:hyperlink r:id="rId34" w:history="1">
        <w:r w:rsidRPr="00586886">
          <w:rPr>
            <w:rStyle w:val="a5"/>
            <w:rFonts w:ascii="Times New Roman" w:hAnsi="Times New Roman"/>
            <w:color w:val="008CD2"/>
            <w:sz w:val="22"/>
            <w:szCs w:val="22"/>
          </w:rPr>
          <w:t>Chapters 3</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and</w:t>
      </w:r>
      <w:r w:rsidRPr="00586886">
        <w:rPr>
          <w:rStyle w:val="apple-converted-space"/>
          <w:rFonts w:ascii="Times New Roman" w:hAnsi="Times New Roman"/>
          <w:color w:val="666666"/>
          <w:sz w:val="22"/>
          <w:szCs w:val="22"/>
        </w:rPr>
        <w:t> </w:t>
      </w:r>
      <w:hyperlink r:id="rId35" w:history="1">
        <w:r w:rsidRPr="00586886">
          <w:rPr>
            <w:rStyle w:val="a5"/>
            <w:rFonts w:ascii="Times New Roman" w:hAnsi="Times New Roman"/>
            <w:color w:val="008CD2"/>
            <w:sz w:val="22"/>
            <w:szCs w:val="22"/>
          </w:rPr>
          <w:t>4</w:t>
        </w:r>
      </w:hyperlink>
      <w:r w:rsidRPr="00586886">
        <w:rPr>
          <w:rFonts w:ascii="Times New Roman" w:hAnsi="Times New Roman"/>
          <w:color w:val="666666"/>
          <w:sz w:val="22"/>
          <w:szCs w:val="22"/>
        </w:rPr>
        <w:t>, has 50 million shares of stock outstanding. If the owner of 100 shares sells his or her stock, the trade is said to have occurred in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secondary market.</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Thus, the market for outstanding shares, or</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used shares,</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is the secondary market. The company receives no new money when sales occur in this market.</w:t>
      </w:r>
      <w:bookmarkStart w:id="15" w:name="PageEnd_43"/>
      <w:bookmarkEnd w:id="15"/>
    </w:p>
    <w:p w:rsidR="006D4E15" w:rsidRPr="00586886" w:rsidRDefault="006D4E15" w:rsidP="006D4E15">
      <w:pPr>
        <w:pStyle w:val="a3"/>
        <w:numPr>
          <w:ilvl w:val="0"/>
          <w:numId w:val="5"/>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 xml:space="preserve">Additional shares sold by established publicly owned companies: the primary </w:t>
      </w:r>
      <w:proofErr w:type="spellStart"/>
      <w:r w:rsidRPr="00586886">
        <w:rPr>
          <w:rStyle w:val="a4"/>
          <w:rFonts w:ascii="Times New Roman" w:hAnsi="Times New Roman"/>
          <w:color w:val="666666"/>
          <w:sz w:val="22"/>
          <w:szCs w:val="22"/>
        </w:rPr>
        <w:t>market.</w:t>
      </w:r>
      <w:r w:rsidRPr="00586886">
        <w:rPr>
          <w:rFonts w:ascii="Times New Roman" w:hAnsi="Times New Roman"/>
          <w:color w:val="666666"/>
          <w:sz w:val="22"/>
          <w:szCs w:val="22"/>
        </w:rPr>
        <w:t>If</w:t>
      </w:r>
      <w:proofErr w:type="spellEnd"/>
      <w:r w:rsidRPr="00586886">
        <w:rPr>
          <w:rFonts w:ascii="Times New Roman" w:hAnsi="Times New Roman"/>
          <w:color w:val="666666"/>
          <w:sz w:val="22"/>
          <w:szCs w:val="22"/>
        </w:rPr>
        <w:t xml:space="preserve"> Allied Food decides to sell (or issue) an additional 1 million shares to raise new equity capital, this transaction is said to occur in 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primary market.</w:t>
      </w:r>
      <w:r w:rsidRPr="00586886">
        <w:rPr>
          <w:rFonts w:ascii="Times New Roman" w:hAnsi="Times New Roman"/>
          <w:noProof/>
          <w:color w:val="008CD2"/>
          <w:sz w:val="22"/>
          <w:szCs w:val="22"/>
        </w:rPr>
        <w:drawing>
          <wp:inline distT="0" distB="0" distL="0" distR="0" wp14:anchorId="2874569E" wp14:editId="122BBD99">
            <wp:extent cx="167005" cy="167005"/>
            <wp:effectExtent l="0" t="0" r="10795" b="10795"/>
            <wp:docPr id="15" name="图片 15"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ng.cengage.com/static/nbapps/glossary/images/footstar.png">
                      <a:hlinkClick r:id="rId20"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rsidR="006D4E15" w:rsidRPr="00586886" w:rsidRDefault="006D4E15" w:rsidP="006D4E15">
      <w:pPr>
        <w:pStyle w:val="a3"/>
        <w:numPr>
          <w:ilvl w:val="0"/>
          <w:numId w:val="5"/>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Initial public offerings made by privately held firms: the IPO market.</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Whenever stock in a closely held corporation is offered to the public for the first time, the company is said to be</w:t>
      </w:r>
      <w:r w:rsidRPr="00586886">
        <w:rPr>
          <w:rStyle w:val="apple-converted-space"/>
          <w:rFonts w:ascii="Times New Roman" w:hAnsi="Times New Roman"/>
          <w:color w:val="666666"/>
          <w:sz w:val="22"/>
          <w:szCs w:val="22"/>
        </w:rPr>
        <w:t> </w:t>
      </w:r>
      <w:hyperlink r:id="rId36" w:history="1">
        <w:r w:rsidRPr="00586886">
          <w:rPr>
            <w:rStyle w:val="primaryterm"/>
            <w:rFonts w:ascii="Times New Roman" w:hAnsi="Times New Roman"/>
            <w:b/>
            <w:bCs/>
            <w:color w:val="0081BC"/>
            <w:sz w:val="22"/>
            <w:szCs w:val="22"/>
          </w:rPr>
          <w:t>going public</w:t>
        </w:r>
      </w:hyperlink>
      <w:r w:rsidRPr="00586886">
        <w:rPr>
          <w:rFonts w:ascii="Times New Roman" w:hAnsi="Times New Roman"/>
          <w:color w:val="666666"/>
          <w:sz w:val="22"/>
          <w:szCs w:val="22"/>
        </w:rPr>
        <w:t>. The market for stock that is just being offered to the public is called the</w:t>
      </w:r>
      <w:r w:rsidRPr="00586886">
        <w:rPr>
          <w:rStyle w:val="apple-converted-space"/>
          <w:rFonts w:ascii="Times New Roman" w:hAnsi="Times New Roman"/>
          <w:color w:val="666666"/>
          <w:sz w:val="22"/>
          <w:szCs w:val="22"/>
        </w:rPr>
        <w:t> </w:t>
      </w:r>
      <w:hyperlink r:id="rId37" w:history="1">
        <w:r w:rsidRPr="00586886">
          <w:rPr>
            <w:rStyle w:val="primaryterm"/>
            <w:rFonts w:ascii="Times New Roman" w:hAnsi="Times New Roman"/>
            <w:b/>
            <w:bCs/>
            <w:color w:val="0081BC"/>
            <w:sz w:val="22"/>
            <w:szCs w:val="22"/>
          </w:rPr>
          <w:t>initial public offering (IPO) market</w:t>
        </w:r>
      </w:hyperlink>
      <w:r w:rsidRPr="00586886">
        <w:rPr>
          <w:rFonts w:ascii="Times New Roman" w:hAnsi="Times New Roman"/>
          <w:color w:val="666666"/>
          <w:sz w:val="22"/>
          <w:szCs w:val="22"/>
        </w:rPr>
        <w:t>.</w:t>
      </w:r>
      <w:r w:rsidRPr="00586886">
        <w:rPr>
          <w:rFonts w:ascii="Times New Roman" w:hAnsi="Times New Roman"/>
          <w:noProof/>
          <w:color w:val="008CD2"/>
          <w:sz w:val="22"/>
          <w:szCs w:val="22"/>
        </w:rPr>
        <w:drawing>
          <wp:inline distT="0" distB="0" distL="0" distR="0" wp14:anchorId="33155406" wp14:editId="544541EB">
            <wp:extent cx="167005" cy="167005"/>
            <wp:effectExtent l="0" t="0" r="10795" b="10795"/>
            <wp:docPr id="16" name="图片 16" descr="http://ng.cengage.com/static/nbapps/glossary/images/footstar.png">
              <a:hlinkClick xmlns:a="http://schemas.openxmlformats.org/drawingml/2006/main" r:id="rId20"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ng.cengage.com/static/nbapps/glossary/images/footstar.png">
                      <a:hlinkClick r:id="rId20"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In the summer of 2004, Google sold shares to the public for the first time at $85 per share. By March 2015, the stock was selling for more than $575. In 2006, McDonald’s owned Chipotle Mexican Grill. McDonald’s then sold its shares to the public for about $47.50 to raise capital to support its core business; and by March 2015, Chipotle’s stock price was more than $670. In some more recent examples, General Motors (GM) went public as part of its reorganization following its government bailout. In May 2011, the professional-networking site LinkedIn Corp. created excitement when shares of its IPO more than doubled during its first day of trading. In 2013, Twitter went public at an offer price of $26 per share; a day later its price had jumped to an intra-day high above $50 per share. In March 2015, its price has cooled off a bit and is in the neighborhood of $47 per share. And, of course, </w:t>
      </w:r>
      <w:proofErr w:type="spellStart"/>
      <w:r w:rsidRPr="00586886">
        <w:rPr>
          <w:rFonts w:ascii="Times New Roman" w:hAnsi="Times New Roman"/>
          <w:color w:val="666666"/>
          <w:sz w:val="22"/>
          <w:szCs w:val="22"/>
        </w:rPr>
        <w:t>Alibaba’s</w:t>
      </w:r>
      <w:proofErr w:type="spellEnd"/>
      <w:r w:rsidRPr="00586886">
        <w:rPr>
          <w:rFonts w:ascii="Times New Roman" w:hAnsi="Times New Roman"/>
          <w:color w:val="666666"/>
          <w:sz w:val="22"/>
          <w:szCs w:val="22"/>
        </w:rPr>
        <w:t xml:space="preserve"> initial stock price on September 19, 2014, was $68 but by close its price had risen 38% to $93.89. In early March 2015, its price has simmered somewhat to around $85 per share.</w:t>
      </w:r>
    </w:p>
    <w:p w:rsidR="006D4E15" w:rsidRPr="00586886" w:rsidRDefault="006D4E15" w:rsidP="006D4E15">
      <w:pPr>
        <w:pStyle w:val="a3"/>
        <w:spacing w:before="0" w:beforeAutospacing="0" w:after="0" w:afterAutospacing="0"/>
        <w:rPr>
          <w:rFonts w:ascii="Times New Roman" w:hAnsi="Times New Roman"/>
          <w:color w:val="696969"/>
          <w:sz w:val="22"/>
          <w:szCs w:val="22"/>
        </w:rPr>
      </w:pPr>
      <w:r w:rsidRPr="00586886">
        <w:rPr>
          <w:rStyle w:val="apple-converted-space"/>
          <w:rFonts w:ascii="Times New Roman" w:hAnsi="Times New Roman"/>
          <w:color w:val="696969"/>
          <w:sz w:val="22"/>
          <w:szCs w:val="22"/>
        </w:rPr>
        <w:t> </w:t>
      </w:r>
      <w:r w:rsidRPr="00586886">
        <w:rPr>
          <w:rFonts w:ascii="Times New Roman" w:hAnsi="Times New Roman"/>
          <w:color w:val="696969"/>
          <w:sz w:val="22"/>
          <w:szCs w:val="22"/>
        </w:rPr>
        <w:t>For information on IPOs, refer to Professor Jay Ritter’s (University of Florida) web page</w:t>
      </w:r>
      <w:bookmarkStart w:id="16" w:name="MWTKIA721975665"/>
      <w:r w:rsidRPr="00586886">
        <w:rPr>
          <w:rFonts w:ascii="Times New Roman" w:hAnsi="Times New Roman"/>
          <w:color w:val="696969"/>
          <w:sz w:val="22"/>
          <w:szCs w:val="22"/>
        </w:rPr>
        <w:fldChar w:fldCharType="begin"/>
      </w:r>
      <w:r w:rsidRPr="00586886">
        <w:rPr>
          <w:rFonts w:ascii="Times New Roman" w:hAnsi="Times New Roman"/>
          <w:color w:val="696969"/>
          <w:sz w:val="22"/>
          <w:szCs w:val="22"/>
        </w:rPr>
        <w:instrText xml:space="preserve"> HYPERLINK "http://site.warrington.ufl.edu/ritter/ipo-data/" \t "_blank" </w:instrText>
      </w:r>
      <w:r w:rsidRPr="00586886">
        <w:rPr>
          <w:rFonts w:ascii="Times New Roman" w:hAnsi="Times New Roman"/>
          <w:color w:val="696969"/>
          <w:sz w:val="22"/>
          <w:szCs w:val="22"/>
        </w:rPr>
      </w:r>
      <w:r w:rsidRPr="00586886">
        <w:rPr>
          <w:rFonts w:ascii="Times New Roman" w:hAnsi="Times New Roman"/>
          <w:color w:val="696969"/>
          <w:sz w:val="22"/>
          <w:szCs w:val="22"/>
        </w:rPr>
        <w:fldChar w:fldCharType="separate"/>
      </w:r>
      <w:r w:rsidRPr="00586886">
        <w:rPr>
          <w:rStyle w:val="a5"/>
          <w:rFonts w:ascii="Times New Roman" w:hAnsi="Times New Roman"/>
          <w:color w:val="008CD2"/>
          <w:sz w:val="22"/>
          <w:szCs w:val="22"/>
        </w:rPr>
        <w:t>site.warrington.ufl.edu/ritter/ipo-data/</w:t>
      </w:r>
      <w:r w:rsidRPr="00586886">
        <w:rPr>
          <w:rFonts w:ascii="Times New Roman" w:hAnsi="Times New Roman"/>
          <w:color w:val="696969"/>
          <w:sz w:val="22"/>
          <w:szCs w:val="22"/>
        </w:rPr>
        <w:fldChar w:fldCharType="end"/>
      </w:r>
      <w:bookmarkEnd w:id="16"/>
      <w:r w:rsidRPr="00586886">
        <w:rPr>
          <w:rFonts w:ascii="Times New Roman" w:hAnsi="Times New Roman"/>
          <w:color w:val="696969"/>
          <w:sz w:val="22"/>
          <w:szCs w:val="22"/>
        </w:rPr>
        <w:t>.</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The number of new IPOs rises and falls with the stock market. When the market is strong, many companies go public to bring in new capital and to give their founders an opportunity to cash out some of their shares. As you might expect, not all IPOs are as well received as Google, Chipotle, and LinkedIn. The most striking example is Facebook, which had the largest and highest-profile IPO of 2012. Amid much fanfare, the company went public on May 18, 2012, at a price of $38 per share. In the two weeks after the IPO, the stock had fallen to below $28, and just a few months later in September, the price reached a low of $17.55. By year-end 2012, the stock rebounded to $26.62, which was still 30% below the initial offering price. So, although Facebook raised a lot of money through its IPO, its initial investors did not quickly realize the big return that many were looking to capture. However, it is important to note that despite its rocky start, investors who continued to hold Facebook stock did quite well. In contrast, the box, titled “</w:t>
      </w:r>
      <w:hyperlink r:id="rId38" w:history="1">
        <w:r w:rsidRPr="00586886">
          <w:rPr>
            <w:rStyle w:val="a5"/>
            <w:rFonts w:ascii="Times New Roman" w:hAnsi="Times New Roman"/>
            <w:color w:val="008CD2"/>
            <w:sz w:val="22"/>
            <w:szCs w:val="22"/>
          </w:rPr>
          <w:t>Initial Buzz Surrounding IPOs Doesn’t Always Translate into Long-Lasting Success</w:t>
        </w:r>
      </w:hyperlink>
      <w:r w:rsidRPr="00586886">
        <w:rPr>
          <w:rFonts w:ascii="Times New Roman" w:hAnsi="Times New Roman"/>
          <w:color w:val="666666"/>
          <w:sz w:val="22"/>
          <w:szCs w:val="22"/>
        </w:rPr>
        <w:t>,” demonstrates Twitter’s disappointing post-IPO performance, despite a much higher first day return.</w:t>
      </w:r>
    </w:p>
    <w:p w:rsidR="006D4E15" w:rsidRPr="00586886" w:rsidRDefault="006D4E15" w:rsidP="006D4E15">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2-6</w:t>
      </w:r>
      <w:r w:rsidRPr="00586886">
        <w:rPr>
          <w:rStyle w:val="headingtext"/>
          <w:rFonts w:ascii="Times New Roman" w:eastAsia="Times New Roman" w:hAnsi="Times New Roman" w:cs="Times New Roman"/>
          <w:b w:val="0"/>
          <w:bCs w:val="0"/>
          <w:color w:val="007DB8"/>
          <w:sz w:val="22"/>
          <w:szCs w:val="22"/>
        </w:rPr>
        <w:t>Stock Markets and Returns</w:t>
      </w:r>
    </w:p>
    <w:p w:rsidR="006D4E15" w:rsidRPr="00586886" w:rsidRDefault="006D4E15" w:rsidP="006D4E15">
      <w:pPr>
        <w:pStyle w:val="a3"/>
        <w:shd w:val="clear" w:color="auto" w:fill="FFFFFF"/>
        <w:spacing w:before="0" w:beforeAutospacing="0" w:after="225" w:afterAutospacing="0"/>
        <w:ind w:left="975" w:right="1500"/>
        <w:rPr>
          <w:rStyle w:val="apple-converted-space"/>
          <w:rFonts w:ascii="Times New Roman" w:hAnsi="Times New Roman"/>
          <w:color w:val="666666"/>
          <w:sz w:val="22"/>
          <w:szCs w:val="22"/>
        </w:rPr>
      </w:pPr>
      <w:r w:rsidRPr="00586886">
        <w:rPr>
          <w:rFonts w:ascii="Times New Roman" w:hAnsi="Times New Roman"/>
          <w:color w:val="666666"/>
          <w:sz w:val="22"/>
          <w:szCs w:val="22"/>
        </w:rPr>
        <w:t>Anyone who has invested in the stock market knows that there can be (and generally are) large differences between</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expected</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and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realized</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prices and returns.</w:t>
      </w:r>
      <w:r w:rsidRPr="00586886">
        <w:rPr>
          <w:rStyle w:val="apple-converted-space"/>
          <w:rFonts w:ascii="Times New Roman" w:hAnsi="Times New Roman"/>
          <w:color w:val="666666"/>
          <w:sz w:val="22"/>
          <w:szCs w:val="22"/>
        </w:rPr>
        <w:t> </w:t>
      </w:r>
      <w:hyperlink r:id="rId39" w:history="1">
        <w:r w:rsidRPr="00586886">
          <w:rPr>
            <w:rStyle w:val="a5"/>
            <w:rFonts w:ascii="Times New Roman" w:hAnsi="Times New Roman"/>
            <w:color w:val="008CD2"/>
            <w:sz w:val="22"/>
            <w:szCs w:val="22"/>
          </w:rPr>
          <w:t>Figure 2.2</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shows how total realized portfolio returns have varied from year to year. As logic would suggest (and as is demonstrated in</w:t>
      </w:r>
      <w:r w:rsidRPr="00586886">
        <w:rPr>
          <w:rStyle w:val="apple-converted-space"/>
          <w:rFonts w:ascii="Times New Roman" w:hAnsi="Times New Roman"/>
          <w:color w:val="666666"/>
          <w:sz w:val="22"/>
          <w:szCs w:val="22"/>
        </w:rPr>
        <w:t> </w:t>
      </w:r>
      <w:hyperlink r:id="rId40" w:history="1">
        <w:r w:rsidRPr="00586886">
          <w:rPr>
            <w:rStyle w:val="a5"/>
            <w:rFonts w:ascii="Times New Roman" w:hAnsi="Times New Roman"/>
            <w:color w:val="008CD2"/>
            <w:sz w:val="22"/>
            <w:szCs w:val="22"/>
          </w:rPr>
          <w:t>Chapter 9</w:t>
        </w:r>
      </w:hyperlink>
      <w:r w:rsidRPr="00586886">
        <w:rPr>
          <w:rFonts w:ascii="Times New Roman" w:hAnsi="Times New Roman"/>
          <w:color w:val="666666"/>
          <w:sz w:val="22"/>
          <w:szCs w:val="22"/>
        </w:rPr>
        <w:t>), a stock’s expected return as estimated by investors at the margin is always positive; otherwise, investors would not buy the stock.</w:t>
      </w:r>
      <w:r w:rsidRPr="00586886">
        <w:rPr>
          <w:rStyle w:val="apple-converted-space"/>
          <w:rFonts w:ascii="Times New Roman" w:hAnsi="Times New Roman"/>
          <w:color w:val="666666"/>
          <w:sz w:val="22"/>
          <w:szCs w:val="22"/>
        </w:rPr>
        <w:t> </w:t>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2-6A</w:t>
      </w:r>
      <w:r w:rsidRPr="00586886">
        <w:rPr>
          <w:rStyle w:val="headingtext"/>
          <w:rFonts w:ascii="Times New Roman" w:eastAsia="Times New Roman" w:hAnsi="Times New Roman" w:cs="Times New Roman"/>
          <w:color w:val="DF7300"/>
          <w:sz w:val="22"/>
          <w:szCs w:val="22"/>
        </w:rPr>
        <w:t>Stock Market Reporting</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Up until a few years ago, the best source of stock quotations was the business section of daily newspapers such as</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The Wall Street Journal</w:t>
      </w:r>
      <w:r w:rsidRPr="00586886">
        <w:rPr>
          <w:rFonts w:ascii="Times New Roman" w:hAnsi="Times New Roman"/>
          <w:color w:val="666666"/>
          <w:sz w:val="22"/>
          <w:szCs w:val="22"/>
        </w:rPr>
        <w:t>. One problem with newspapers, however, is that they report yesterday’s prices. Now it is possible to obtain quotes throughout the day from a wide variety of Internet sources. One of the best is Yahoo!’s</w:t>
      </w:r>
      <w:bookmarkStart w:id="17" w:name="QAAWAC491657577"/>
      <w:r w:rsidRPr="00586886">
        <w:rPr>
          <w:rFonts w:ascii="Times New Roman" w:hAnsi="Times New Roman"/>
          <w:color w:val="666666"/>
          <w:sz w:val="22"/>
          <w:szCs w:val="22"/>
        </w:rPr>
        <w:fldChar w:fldCharType="begin"/>
      </w:r>
      <w:r w:rsidRPr="00586886">
        <w:rPr>
          <w:rFonts w:ascii="Times New Roman" w:hAnsi="Times New Roman"/>
          <w:color w:val="666666"/>
          <w:sz w:val="22"/>
          <w:szCs w:val="22"/>
        </w:rPr>
        <w:instrText xml:space="preserve"> HYPERLINK "http://finance.yahoo.com/" \t "_blank" </w:instrText>
      </w:r>
      <w:r w:rsidRPr="00586886">
        <w:rPr>
          <w:rFonts w:ascii="Times New Roman" w:hAnsi="Times New Roman"/>
          <w:color w:val="666666"/>
          <w:sz w:val="22"/>
          <w:szCs w:val="22"/>
        </w:rPr>
      </w:r>
      <w:r w:rsidRPr="00586886">
        <w:rPr>
          <w:rFonts w:ascii="Times New Roman" w:hAnsi="Times New Roman"/>
          <w:color w:val="666666"/>
          <w:sz w:val="22"/>
          <w:szCs w:val="22"/>
        </w:rPr>
        <w:fldChar w:fldCharType="separate"/>
      </w:r>
      <w:r w:rsidRPr="00586886">
        <w:rPr>
          <w:rStyle w:val="a5"/>
          <w:rFonts w:ascii="Times New Roman" w:hAnsi="Times New Roman"/>
          <w:color w:val="008CD2"/>
          <w:sz w:val="22"/>
          <w:szCs w:val="22"/>
        </w:rPr>
        <w:t>finance.yahoo.com</w:t>
      </w:r>
      <w:r w:rsidRPr="00586886">
        <w:rPr>
          <w:rFonts w:ascii="Times New Roman" w:hAnsi="Times New Roman"/>
          <w:color w:val="666666"/>
          <w:sz w:val="22"/>
          <w:szCs w:val="22"/>
        </w:rPr>
        <w:fldChar w:fldCharType="end"/>
      </w:r>
      <w:bookmarkEnd w:id="17"/>
      <w:r w:rsidRPr="00586886">
        <w:rPr>
          <w:rFonts w:ascii="Times New Roman" w:hAnsi="Times New Roman"/>
          <w:color w:val="666666"/>
          <w:sz w:val="22"/>
          <w:szCs w:val="22"/>
        </w:rPr>
        <w:t>;</w:t>
      </w:r>
      <w:r w:rsidRPr="00586886">
        <w:rPr>
          <w:rStyle w:val="apple-converted-space"/>
          <w:rFonts w:ascii="Times New Roman" w:hAnsi="Times New Roman"/>
          <w:color w:val="666666"/>
          <w:sz w:val="22"/>
          <w:szCs w:val="22"/>
        </w:rPr>
        <w:t> </w:t>
      </w:r>
      <w:hyperlink r:id="rId41" w:history="1">
        <w:r w:rsidRPr="00586886">
          <w:rPr>
            <w:rStyle w:val="a5"/>
            <w:rFonts w:ascii="Times New Roman" w:hAnsi="Times New Roman"/>
            <w:color w:val="008CD2"/>
            <w:sz w:val="22"/>
            <w:szCs w:val="22"/>
          </w:rPr>
          <w:t>Figure 2.3</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shows a detailed quote for Twitter, Inc. (TWTR) for March 9, 2015. As the heading shows, Twitter is traded on the NYSE under the symbol TWTR. The information right below the company name and ticker symbol shows the real-time quote at 12:03 p.m. EDT of $47.62, which is up $0.87 (or 1.87%) from the previous day’s close. Twitter stock closed on Friday, March 6, 2015, at $46.75 per share and it opened for trading on Monday, March 9, 2015, at $47.22 per share. As of noon March 9, 2015, Twitter’s stock had</w:t>
      </w:r>
      <w:bookmarkStart w:id="18" w:name="PageEnd_46"/>
      <w:bookmarkEnd w:id="18"/>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traded from a low of $47.13 to a high of $48.08 and the price range during the past 52 weeks was between $29.51 and $55.99.</w:t>
      </w:r>
    </w:p>
    <w:p w:rsidR="006D4E15" w:rsidRPr="00586886" w:rsidRDefault="006D4E15" w:rsidP="006D4E15">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2-6B</w:t>
      </w:r>
      <w:r w:rsidRPr="00586886">
        <w:rPr>
          <w:rStyle w:val="headingtext"/>
          <w:rFonts w:ascii="Times New Roman" w:eastAsia="Times New Roman" w:hAnsi="Times New Roman" w:cs="Times New Roman"/>
          <w:color w:val="DF7300"/>
          <w:sz w:val="22"/>
          <w:szCs w:val="22"/>
        </w:rPr>
        <w:t>Stock Market Returns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In</w:t>
      </w:r>
      <w:r w:rsidRPr="00586886">
        <w:rPr>
          <w:rStyle w:val="apple-converted-space"/>
          <w:rFonts w:ascii="Times New Roman" w:hAnsi="Times New Roman"/>
          <w:color w:val="666666"/>
          <w:sz w:val="22"/>
          <w:szCs w:val="22"/>
        </w:rPr>
        <w:t> </w:t>
      </w:r>
      <w:hyperlink r:id="rId42" w:history="1">
        <w:r w:rsidRPr="00586886">
          <w:rPr>
            <w:rStyle w:val="a5"/>
            <w:rFonts w:ascii="Times New Roman" w:hAnsi="Times New Roman"/>
            <w:color w:val="008CD2"/>
            <w:sz w:val="22"/>
            <w:szCs w:val="22"/>
          </w:rPr>
          <w:t>Chapters 8</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and</w:t>
      </w:r>
      <w:r w:rsidRPr="00586886">
        <w:rPr>
          <w:rStyle w:val="apple-converted-space"/>
          <w:rFonts w:ascii="Times New Roman" w:hAnsi="Times New Roman"/>
          <w:color w:val="666666"/>
          <w:sz w:val="22"/>
          <w:szCs w:val="22"/>
        </w:rPr>
        <w:t> </w:t>
      </w:r>
      <w:hyperlink r:id="rId43" w:history="1">
        <w:r w:rsidRPr="00586886">
          <w:rPr>
            <w:rStyle w:val="a5"/>
            <w:rFonts w:ascii="Times New Roman" w:hAnsi="Times New Roman"/>
            <w:color w:val="008CD2"/>
            <w:sz w:val="22"/>
            <w:szCs w:val="22"/>
          </w:rPr>
          <w:t>9</w:t>
        </w:r>
      </w:hyperlink>
      <w:r w:rsidRPr="00586886">
        <w:rPr>
          <w:rFonts w:ascii="Times New Roman" w:hAnsi="Times New Roman"/>
          <w:color w:val="666666"/>
          <w:sz w:val="22"/>
          <w:szCs w:val="22"/>
        </w:rPr>
        <w:t>, we discuss in detail how a stock’s rate of return is calculated, what the connection is between risk and returns, and what techniques analysts use to value stocks. However, it is useful at this point to give you an idea of how stocks have performed in recent years.</w:t>
      </w:r>
      <w:r w:rsidRPr="00586886">
        <w:rPr>
          <w:rStyle w:val="apple-converted-space"/>
          <w:rFonts w:ascii="Times New Roman" w:hAnsi="Times New Roman"/>
          <w:color w:val="666666"/>
          <w:sz w:val="22"/>
          <w:szCs w:val="22"/>
        </w:rPr>
        <w:t> </w:t>
      </w:r>
      <w:hyperlink r:id="rId44" w:history="1">
        <w:r w:rsidRPr="00586886">
          <w:rPr>
            <w:rStyle w:val="a5"/>
            <w:rFonts w:ascii="Times New Roman" w:hAnsi="Times New Roman"/>
            <w:color w:val="008CD2"/>
            <w:sz w:val="22"/>
            <w:szCs w:val="22"/>
          </w:rPr>
          <w:t>Figure 2.2</w:t>
        </w:r>
      </w:hyperlink>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shows how the returns on large U.S. stocks have varied over the past years, and the box titled “</w:t>
      </w:r>
      <w:hyperlink r:id="rId45" w:history="1">
        <w:r w:rsidRPr="00586886">
          <w:rPr>
            <w:rStyle w:val="a5"/>
            <w:rFonts w:ascii="Times New Roman" w:hAnsi="Times New Roman"/>
            <w:color w:val="008CD2"/>
            <w:sz w:val="22"/>
            <w:szCs w:val="22"/>
          </w:rPr>
          <w:t>Measuring the Market</w:t>
        </w:r>
      </w:hyperlink>
      <w:r w:rsidRPr="00586886">
        <w:rPr>
          <w:rFonts w:ascii="Times New Roman" w:hAnsi="Times New Roman"/>
          <w:color w:val="666666"/>
          <w:sz w:val="22"/>
          <w:szCs w:val="22"/>
        </w:rPr>
        <w:t>” provides information on the major U.S. stock market indices and their performances since the mid-1990s.</w:t>
      </w: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The market trend has been strongly up since 1968, but by no means does it go up every year. Indeed, as we can see from</w:t>
      </w:r>
      <w:r w:rsidRPr="00586886">
        <w:rPr>
          <w:rStyle w:val="apple-converted-space"/>
          <w:rFonts w:ascii="Times New Roman" w:hAnsi="Times New Roman"/>
          <w:color w:val="666666"/>
          <w:sz w:val="22"/>
          <w:szCs w:val="22"/>
        </w:rPr>
        <w:t> </w:t>
      </w:r>
      <w:hyperlink r:id="rId46" w:history="1">
        <w:r w:rsidRPr="00586886">
          <w:rPr>
            <w:rStyle w:val="a5"/>
            <w:rFonts w:ascii="Times New Roman" w:hAnsi="Times New Roman"/>
            <w:color w:val="008CD2"/>
            <w:sz w:val="22"/>
            <w:szCs w:val="22"/>
          </w:rPr>
          <w:t>Figure 2.2</w:t>
        </w:r>
      </w:hyperlink>
      <w:r w:rsidRPr="00586886">
        <w:rPr>
          <w:rFonts w:ascii="Times New Roman" w:hAnsi="Times New Roman"/>
          <w:color w:val="666666"/>
          <w:sz w:val="22"/>
          <w:szCs w:val="22"/>
        </w:rPr>
        <w:t>, the overall market was down</w:t>
      </w:r>
      <w:bookmarkStart w:id="19" w:name="PageEnd_47"/>
      <w:bookmarkEnd w:id="19"/>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in 10 of the last 47 years, including the three consecutive years of 2000–2002. The stock prices of individual companies have likewise gone up and down.</w:t>
      </w:r>
      <w:r w:rsidRPr="00586886">
        <w:rPr>
          <w:rFonts w:ascii="Times New Roman" w:hAnsi="Times New Roman"/>
          <w:noProof/>
          <w:color w:val="008CD2"/>
          <w:sz w:val="22"/>
          <w:szCs w:val="22"/>
        </w:rPr>
        <w:drawing>
          <wp:inline distT="0" distB="0" distL="0" distR="0" wp14:anchorId="7FFEC91B" wp14:editId="6C7610DC">
            <wp:extent cx="167005" cy="167005"/>
            <wp:effectExtent l="0" t="0" r="10795" b="10795"/>
            <wp:docPr id="19" name="图片 19"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Of course, even in bad years, some individual companies do well; so “the name of the game” in security analysis is to pick the winners. Financial managers attempt to do this, but they don’t always succeed. In subsequent chapters, we will examine the decisions managers make to increase the odds that their firms will perform well in the marketplace.</w:t>
      </w:r>
    </w:p>
    <w:p w:rsidR="00586886" w:rsidRPr="00586886" w:rsidRDefault="00586886" w:rsidP="00586886">
      <w:pPr>
        <w:pStyle w:val="1"/>
        <w:shd w:val="clear" w:color="auto" w:fill="FFFFFF"/>
        <w:spacing w:before="0" w:beforeAutospacing="0" w:after="0" w:afterAutospacing="0"/>
        <w:ind w:left="975" w:right="1500"/>
        <w:rPr>
          <w:rFonts w:ascii="Times New Roman" w:eastAsia="Times New Roman" w:hAnsi="Times New Roman" w:cs="Times New Roman"/>
          <w:b w:val="0"/>
          <w:bCs w:val="0"/>
          <w:color w:val="007DB8"/>
          <w:sz w:val="22"/>
          <w:szCs w:val="22"/>
        </w:rPr>
      </w:pPr>
      <w:r w:rsidRPr="00586886">
        <w:rPr>
          <w:rStyle w:val="sectionlabel"/>
          <w:rFonts w:ascii="Times New Roman" w:eastAsia="Times New Roman" w:hAnsi="Times New Roman" w:cs="Times New Roman"/>
          <w:color w:val="7A7A7A"/>
          <w:sz w:val="22"/>
          <w:szCs w:val="22"/>
        </w:rPr>
        <w:t>2-7</w:t>
      </w:r>
      <w:r w:rsidRPr="00586886">
        <w:rPr>
          <w:rStyle w:val="headingtext"/>
          <w:rFonts w:ascii="Times New Roman" w:eastAsia="Times New Roman" w:hAnsi="Times New Roman" w:cs="Times New Roman"/>
          <w:b w:val="0"/>
          <w:bCs w:val="0"/>
          <w:color w:val="007DB8"/>
          <w:sz w:val="22"/>
          <w:szCs w:val="22"/>
        </w:rPr>
        <w:t>Stock Market Efficiency</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To begin this section, consider the following definitions:</w:t>
      </w:r>
    </w:p>
    <w:p w:rsidR="00586886" w:rsidRPr="00586886" w:rsidRDefault="00586886" w:rsidP="00586886">
      <w:pPr>
        <w:pStyle w:val="a3"/>
        <w:numPr>
          <w:ilvl w:val="0"/>
          <w:numId w:val="6"/>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Market price:</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current price of a stock. For example, the Internet showed that on one day, Twitter’s stock traded at $47.62. The market price had varied from $47.13 to $48.08 during that same day as buy and sell orders came in.</w:t>
      </w:r>
    </w:p>
    <w:p w:rsidR="00586886" w:rsidRPr="00586886" w:rsidRDefault="00586886" w:rsidP="00586886">
      <w:pPr>
        <w:pStyle w:val="a3"/>
        <w:numPr>
          <w:ilvl w:val="0"/>
          <w:numId w:val="6"/>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Intrinsic value:</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price at which the stock would sell if all investors had all knowable information about a stock. This concept was discussed in</w:t>
      </w:r>
      <w:r w:rsidRPr="00586886">
        <w:rPr>
          <w:rStyle w:val="apple-converted-space"/>
          <w:rFonts w:ascii="Times New Roman" w:hAnsi="Times New Roman"/>
          <w:color w:val="666666"/>
          <w:sz w:val="22"/>
          <w:szCs w:val="22"/>
        </w:rPr>
        <w:t> </w:t>
      </w:r>
      <w:hyperlink r:id="rId47" w:history="1">
        <w:r w:rsidRPr="00586886">
          <w:rPr>
            <w:rStyle w:val="a5"/>
            <w:rFonts w:ascii="Times New Roman" w:hAnsi="Times New Roman"/>
            <w:color w:val="008CD2"/>
            <w:sz w:val="22"/>
            <w:szCs w:val="22"/>
          </w:rPr>
          <w:t>Chapter 1</w:t>
        </w:r>
      </w:hyperlink>
      <w:r w:rsidRPr="00586886">
        <w:rPr>
          <w:rFonts w:ascii="Times New Roman" w:hAnsi="Times New Roman"/>
          <w:color w:val="666666"/>
          <w:sz w:val="22"/>
          <w:szCs w:val="22"/>
        </w:rPr>
        <w:t>, where we saw that a stock’s intrinsic value is based on its expected future cash flows and its risk. Moreover, the market price tends to fluctuate around the intrinsic value; and the intrinsic value changes over time as the company succeeds or fails with new projects, competitors enter or exit the market, and so forth. We can guess (or estimate) Twitter’s intrinsic value, but different analysts will reach somewhat different conclusions.</w:t>
      </w:r>
    </w:p>
    <w:p w:rsidR="00586886" w:rsidRPr="00586886" w:rsidRDefault="00586886" w:rsidP="00586886">
      <w:pPr>
        <w:pStyle w:val="a3"/>
        <w:numPr>
          <w:ilvl w:val="0"/>
          <w:numId w:val="6"/>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Equilibrium price:</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 price that balances buy and sell orders at any given time. When a stock is in equilibrium, the price remains relatively stable until new information becomes available and causes the price to change.</w:t>
      </w:r>
    </w:p>
    <w:p w:rsidR="00586886" w:rsidRPr="00586886" w:rsidRDefault="00586886" w:rsidP="00586886">
      <w:pPr>
        <w:pStyle w:val="a3"/>
        <w:numPr>
          <w:ilvl w:val="0"/>
          <w:numId w:val="6"/>
        </w:numPr>
        <w:shd w:val="clear" w:color="auto" w:fill="FFFFFF"/>
        <w:spacing w:before="0" w:beforeAutospacing="0" w:after="0" w:afterAutospacing="0"/>
        <w:ind w:left="975" w:right="1500"/>
        <w:rPr>
          <w:rFonts w:ascii="Times New Roman" w:hAnsi="Times New Roman"/>
          <w:color w:val="666666"/>
          <w:sz w:val="22"/>
          <w:szCs w:val="22"/>
        </w:rPr>
      </w:pPr>
      <w:r w:rsidRPr="00586886">
        <w:rPr>
          <w:rStyle w:val="a4"/>
          <w:rFonts w:ascii="Times New Roman" w:hAnsi="Times New Roman"/>
          <w:color w:val="666666"/>
          <w:sz w:val="22"/>
          <w:szCs w:val="22"/>
        </w:rPr>
        <w:t>Efficient market:</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A market in which prices are close to intrinsic values and stocks seem to be in equilibrium.</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When markets are efficient, investors can buy and sell stocks and be confident that they are getting good prices. When markets are inefficient, investors may be afraid to invest and may put their money “under the pillow,” which will lead to a poor allocation of capital and economic stagnation. From an economic standpoint, market efficiency is good.</w:t>
      </w:r>
      <w:bookmarkStart w:id="20" w:name="PageEnd_49"/>
      <w:bookmarkEnd w:id="20"/>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Academics and financial professionals have studied the issue of market efficiency extensively.</w:t>
      </w:r>
      <w:r w:rsidRPr="00586886">
        <w:rPr>
          <w:rFonts w:ascii="Times New Roman" w:hAnsi="Times New Roman"/>
          <w:noProof/>
          <w:color w:val="008CD2"/>
          <w:sz w:val="22"/>
          <w:szCs w:val="22"/>
        </w:rPr>
        <w:drawing>
          <wp:inline distT="0" distB="0" distL="0" distR="0" wp14:anchorId="0871B219" wp14:editId="0CCA2B66">
            <wp:extent cx="167005" cy="167005"/>
            <wp:effectExtent l="0" t="0" r="10795" b="10795"/>
            <wp:docPr id="21" name="图片 21"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As generally happens, some people think that markets are highly efficient, some think that markets are highly inefficient, and others think that the issue is too complex for a simple answer. With this point in mind, it is interesting to note that the 2013 Nobel Prize in Economics was awarded to three distinguished scholars (Eugene </w:t>
      </w:r>
      <w:proofErr w:type="spellStart"/>
      <w:r w:rsidRPr="00586886">
        <w:rPr>
          <w:rFonts w:ascii="Times New Roman" w:hAnsi="Times New Roman"/>
          <w:color w:val="666666"/>
          <w:sz w:val="22"/>
          <w:szCs w:val="22"/>
        </w:rPr>
        <w:t>Fama</w:t>
      </w:r>
      <w:proofErr w:type="spellEnd"/>
      <w:r w:rsidRPr="00586886">
        <w:rPr>
          <w:rFonts w:ascii="Times New Roman" w:hAnsi="Times New Roman"/>
          <w:color w:val="666666"/>
          <w:sz w:val="22"/>
          <w:szCs w:val="22"/>
        </w:rPr>
        <w:t xml:space="preserve">, Lars Hansen, and Robert </w:t>
      </w:r>
      <w:proofErr w:type="spellStart"/>
      <w:r w:rsidRPr="00586886">
        <w:rPr>
          <w:rFonts w:ascii="Times New Roman" w:hAnsi="Times New Roman"/>
          <w:color w:val="666666"/>
          <w:sz w:val="22"/>
          <w:szCs w:val="22"/>
        </w:rPr>
        <w:t>Shiller</w:t>
      </w:r>
      <w:proofErr w:type="spellEnd"/>
      <w:r w:rsidRPr="00586886">
        <w:rPr>
          <w:rFonts w:ascii="Times New Roman" w:hAnsi="Times New Roman"/>
          <w:color w:val="666666"/>
          <w:sz w:val="22"/>
          <w:szCs w:val="22"/>
        </w:rPr>
        <w:t xml:space="preserve">) for their “empirical analysis of asset prices.” Professor Hansen was cited for his work in developing statistical models for testing the rationality of markets. Also, acknowledging the validity of different views in this area, the Nobel Committee saw fit to simultaneously recognize Professor </w:t>
      </w:r>
      <w:proofErr w:type="spellStart"/>
      <w:r w:rsidRPr="00586886">
        <w:rPr>
          <w:rFonts w:ascii="Times New Roman" w:hAnsi="Times New Roman"/>
          <w:color w:val="666666"/>
          <w:sz w:val="22"/>
          <w:szCs w:val="22"/>
        </w:rPr>
        <w:t>Fama</w:t>
      </w:r>
      <w:proofErr w:type="spellEnd"/>
      <w:r w:rsidRPr="00586886">
        <w:rPr>
          <w:rFonts w:ascii="Times New Roman" w:hAnsi="Times New Roman"/>
          <w:color w:val="666666"/>
          <w:sz w:val="22"/>
          <w:szCs w:val="22"/>
        </w:rPr>
        <w:t xml:space="preserve"> (a pioneer in developing efficient market theory) and Professor </w:t>
      </w:r>
      <w:proofErr w:type="spellStart"/>
      <w:r w:rsidRPr="00586886">
        <w:rPr>
          <w:rFonts w:ascii="Times New Roman" w:hAnsi="Times New Roman"/>
          <w:color w:val="666666"/>
          <w:sz w:val="22"/>
          <w:szCs w:val="22"/>
        </w:rPr>
        <w:t>Shiller</w:t>
      </w:r>
      <w:proofErr w:type="spellEnd"/>
      <w:r w:rsidRPr="00586886">
        <w:rPr>
          <w:rFonts w:ascii="Times New Roman" w:hAnsi="Times New Roman"/>
          <w:color w:val="666666"/>
          <w:sz w:val="22"/>
          <w:szCs w:val="22"/>
        </w:rPr>
        <w:t xml:space="preserve"> (a noted skeptic of market efficiency).</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Those who believe that markets are efficient note that there are 100,000 or so full-time, highly trained professional analysts and traders operating in the market. Many have PhDs in physics, chemistry, and other technical fields in addition to advanced degrees in finance. Moreover, there are fewer than 3,000 major stocks; so if each analyst followed 30 stocks (which is about right, as analysts tend to focus on a specific industry), on average, 1,000 analysts would be following each stock. Further, these analysts work for organizations such as Goldman Sachs, JPMorgan Chase, and Deutsche Bank or for Warren Buffett and other billionaire investors who have billions of dollars available to take advantage of bargains. Also, the SEC has disclosure rules that, combined with electronic information networks, means that new information about a stock is received by all analysts at about the same time, causing almost instantaneous revaluations. All of these factors help markets to be efficient and cause stock prices to move toward their intrinsic values.</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However, other people point to data that suggest that markets are not very efficient. For example, on May 6, 2010, the Dow Jones Index fell nearly 1,000 points only to rebound rapidly by the end of the day.</w:t>
      </w:r>
      <w:r w:rsidRPr="00586886">
        <w:rPr>
          <w:rFonts w:ascii="Times New Roman" w:hAnsi="Times New Roman"/>
          <w:noProof/>
          <w:color w:val="008CD2"/>
          <w:sz w:val="22"/>
          <w:szCs w:val="22"/>
        </w:rPr>
        <w:drawing>
          <wp:inline distT="0" distB="0" distL="0" distR="0" wp14:anchorId="42EF9204" wp14:editId="7BC17280">
            <wp:extent cx="167005" cy="167005"/>
            <wp:effectExtent l="0" t="0" r="10795" b="10795"/>
            <wp:docPr id="22" name="图片 22"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In 2000, Internet stocks rose to phenomenally high prices, and then fell to zero or close to it the following year. No truly important news was announced that could have caused either of these changes; and if the market was efficient, it’s hard to see how such drastic changes could have occurred. Another situation that causes people to question market efficiency is the apparent ability of some analysts to consistently outperform the market over long periods. Warren Buffett comes to mind, but there are others. If markets are truly efficient, then each stock’s price should be close to its intrinsic value. That would make it hard for any analyst to consistently pick stocks that outperform the market.</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The following diagram sums up where most observers seem to be today. There is an “efficiency continuum,” with the market for some companies’ stocks being highly efficient and the market for other stocks being highly inefficient. The key factor is the size of the company—the larger the firm, the more analysts tend to follow it and thus the faster new information is likely to be reflected in the stock’s price. Also, different companies communicate better</w:t>
      </w:r>
      <w:bookmarkStart w:id="21" w:name="PageEnd_50"/>
      <w:bookmarkEnd w:id="21"/>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with analysts and investors; and the better the communications, the more efficient the market for the stock.</w:t>
      </w:r>
    </w:p>
    <w:p w:rsidR="00586886" w:rsidRPr="00586886" w:rsidRDefault="00586886" w:rsidP="00586886">
      <w:pPr>
        <w:widowControl/>
        <w:shd w:val="clear" w:color="auto" w:fill="FFFFFF"/>
        <w:spacing w:after="225" w:line="486" w:lineRule="atLeast"/>
        <w:ind w:left="975" w:right="15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As an investor, would you prefer to purchase a stock whose price was determined in an efficient or an inefficient market? If you thought you knew something that others didn’t know, you might prefer inefficient markets. But if you thought that those physics PhDs with unlimited buying power and access to company CEOs might know more than you, you would probably prefer efficient markets, where the price you paid was likely to be the “right” price. From an economic standpoint, it is good to have efficient markets in which everyone is willing to participate. So the SEC and other regulatory agencies should do everything they can to encourage market efficiency.</w:t>
      </w:r>
    </w:p>
    <w:p w:rsidR="00586886" w:rsidRPr="00586886" w:rsidRDefault="00586886" w:rsidP="00586886">
      <w:pPr>
        <w:widowControl/>
        <w:shd w:val="clear" w:color="auto" w:fill="FFFFFF"/>
        <w:spacing w:after="225" w:line="486" w:lineRule="atLeast"/>
        <w:ind w:left="975" w:right="1500"/>
        <w:jc w:val="left"/>
        <w:rPr>
          <w:rFonts w:ascii="Times New Roman" w:hAnsi="Times New Roman" w:cs="Times New Roman"/>
          <w:color w:val="666666"/>
          <w:kern w:val="0"/>
          <w:sz w:val="22"/>
          <w:szCs w:val="22"/>
        </w:rPr>
      </w:pPr>
      <w:r w:rsidRPr="00586886">
        <w:rPr>
          <w:rFonts w:ascii="Times New Roman" w:hAnsi="Times New Roman" w:cs="Times New Roman"/>
          <w:color w:val="666666"/>
          <w:kern w:val="0"/>
          <w:sz w:val="22"/>
          <w:szCs w:val="22"/>
        </w:rPr>
        <w:t>Thus far we have been discussing the market for individual stocks. But the notion of efficiency applies to the pricing of all assets. For example, the dramatic rise and subsequent collapse of housing prices in many U.S. markets suggests that there was a lot of inefficiency in these markets. It is also important to realize that the level of market efficiency also varies over time. In one respect, we might expect that lower transactions costs and the increasing number of analysts would cause markets to become increasingly efficient over time. However, the recent housing bubble and the previous bubble for Internet stocks provides some contrary evidence. Indeed, these recent events have caused many experts to look for alternative reasons for this apparent irrational behavior. A lot of their research looks for psychologically based explanations, which we discuss in the next section.</w:t>
      </w:r>
    </w:p>
    <w:p w:rsidR="00586886" w:rsidRPr="00586886" w:rsidRDefault="00586886" w:rsidP="00586886">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2-7A</w:t>
      </w:r>
      <w:r w:rsidRPr="00586886">
        <w:rPr>
          <w:rStyle w:val="headingtext"/>
          <w:rFonts w:ascii="Times New Roman" w:eastAsia="Times New Roman" w:hAnsi="Times New Roman" w:cs="Times New Roman"/>
          <w:color w:val="DF7300"/>
          <w:sz w:val="22"/>
          <w:szCs w:val="22"/>
        </w:rPr>
        <w:t>Behavioral Finance Theory</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The</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efficient markets hypothesis (EMH)</w:t>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remains one of the cornerstones of modern finance theory. It implies that, on average, asset prices are about equal to their intrinsic values. The logic behind the EMH is straightforward. If a stock’s price is “too low,” rational traders will quickly take advantage of this opportunity and buy the stock, pushing prices up to the proper level. Likewise, if prices are “too high,” rational traders will sell the stock, pushing the price down to its equilibrium level. Proponents of the EMH argue that these forces keep prices from being systematically wrong.</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Although the logic behind the EMH is compelling, many events in the real world seem inconsistent with the hypothesis, which has spurred a growing field called</w:t>
      </w:r>
      <w:r w:rsidRPr="00586886">
        <w:rPr>
          <w:rStyle w:val="apple-converted-space"/>
          <w:rFonts w:ascii="Times New Roman" w:hAnsi="Times New Roman"/>
          <w:color w:val="666666"/>
          <w:sz w:val="22"/>
          <w:szCs w:val="22"/>
        </w:rPr>
        <w:t> </w:t>
      </w:r>
      <w:r w:rsidRPr="00586886">
        <w:rPr>
          <w:rStyle w:val="a4"/>
          <w:rFonts w:ascii="Times New Roman" w:hAnsi="Times New Roman"/>
          <w:color w:val="666666"/>
          <w:sz w:val="22"/>
          <w:szCs w:val="22"/>
        </w:rPr>
        <w:t>behavioral finance</w:t>
      </w:r>
      <w:r w:rsidRPr="00586886">
        <w:rPr>
          <w:rFonts w:ascii="Times New Roman" w:hAnsi="Times New Roman"/>
          <w:color w:val="666666"/>
          <w:sz w:val="22"/>
          <w:szCs w:val="22"/>
        </w:rPr>
        <w:t xml:space="preserve">. Rather than assuming that investors are rational, behavioral finance theorists borrow insights from psychology to better understand how irrational behavior can be sustained over time. Pioneers in this field include psychologists Daniel </w:t>
      </w:r>
      <w:proofErr w:type="spellStart"/>
      <w:r w:rsidRPr="00586886">
        <w:rPr>
          <w:rFonts w:ascii="Times New Roman" w:hAnsi="Times New Roman"/>
          <w:color w:val="666666"/>
          <w:sz w:val="22"/>
          <w:szCs w:val="22"/>
        </w:rPr>
        <w:t>Kahneman</w:t>
      </w:r>
      <w:proofErr w:type="spellEnd"/>
      <w:r w:rsidRPr="00586886">
        <w:rPr>
          <w:rFonts w:ascii="Times New Roman" w:hAnsi="Times New Roman"/>
          <w:color w:val="666666"/>
          <w:sz w:val="22"/>
          <w:szCs w:val="22"/>
        </w:rPr>
        <w:t xml:space="preserve">, Amos </w:t>
      </w:r>
      <w:proofErr w:type="spellStart"/>
      <w:r w:rsidRPr="00586886">
        <w:rPr>
          <w:rFonts w:ascii="Times New Roman" w:hAnsi="Times New Roman"/>
          <w:color w:val="666666"/>
          <w:sz w:val="22"/>
          <w:szCs w:val="22"/>
        </w:rPr>
        <w:t>Tversky</w:t>
      </w:r>
      <w:proofErr w:type="spellEnd"/>
      <w:r w:rsidRPr="00586886">
        <w:rPr>
          <w:rFonts w:ascii="Times New Roman" w:hAnsi="Times New Roman"/>
          <w:color w:val="666666"/>
          <w:sz w:val="22"/>
          <w:szCs w:val="22"/>
        </w:rPr>
        <w:t xml:space="preserve">, and Richard </w:t>
      </w:r>
      <w:proofErr w:type="spellStart"/>
      <w:r w:rsidRPr="00586886">
        <w:rPr>
          <w:rFonts w:ascii="Times New Roman" w:hAnsi="Times New Roman"/>
          <w:color w:val="666666"/>
          <w:sz w:val="22"/>
          <w:szCs w:val="22"/>
        </w:rPr>
        <w:t>Thaler</w:t>
      </w:r>
      <w:proofErr w:type="spellEnd"/>
      <w:r w:rsidRPr="00586886">
        <w:rPr>
          <w:rFonts w:ascii="Times New Roman" w:hAnsi="Times New Roman"/>
          <w:color w:val="666666"/>
          <w:sz w:val="22"/>
          <w:szCs w:val="22"/>
        </w:rPr>
        <w:t>.</w:t>
      </w:r>
      <w:bookmarkStart w:id="22" w:name="PageEnd_51"/>
      <w:bookmarkEnd w:id="22"/>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Their work has encouraged a growing number of scholars to work in this promising area of research.</w:t>
      </w:r>
      <w:r w:rsidRPr="00586886">
        <w:rPr>
          <w:rFonts w:ascii="Times New Roman" w:hAnsi="Times New Roman"/>
          <w:noProof/>
          <w:color w:val="008CD2"/>
          <w:sz w:val="22"/>
          <w:szCs w:val="22"/>
        </w:rPr>
        <w:drawing>
          <wp:inline distT="0" distB="0" distL="0" distR="0" wp14:anchorId="47528A8A" wp14:editId="4499BBA8">
            <wp:extent cx="167005" cy="167005"/>
            <wp:effectExtent l="0" t="0" r="10795" b="10795"/>
            <wp:docPr id="25" name="图片 25"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 xml:space="preserve">Professor </w:t>
      </w:r>
      <w:proofErr w:type="spellStart"/>
      <w:r w:rsidRPr="00586886">
        <w:rPr>
          <w:rFonts w:ascii="Times New Roman" w:hAnsi="Times New Roman"/>
          <w:color w:val="666666"/>
          <w:sz w:val="22"/>
          <w:szCs w:val="22"/>
        </w:rPr>
        <w:t>Thaler</w:t>
      </w:r>
      <w:proofErr w:type="spellEnd"/>
      <w:r w:rsidRPr="00586886">
        <w:rPr>
          <w:rFonts w:ascii="Times New Roman" w:hAnsi="Times New Roman"/>
          <w:color w:val="666666"/>
          <w:sz w:val="22"/>
          <w:szCs w:val="22"/>
        </w:rPr>
        <w:t xml:space="preserve"> and his colleague Nicholas </w:t>
      </w:r>
      <w:proofErr w:type="spellStart"/>
      <w:r w:rsidRPr="00586886">
        <w:rPr>
          <w:rFonts w:ascii="Times New Roman" w:hAnsi="Times New Roman"/>
          <w:color w:val="666666"/>
          <w:sz w:val="22"/>
          <w:szCs w:val="22"/>
        </w:rPr>
        <w:t>Barberis</w:t>
      </w:r>
      <w:proofErr w:type="spellEnd"/>
      <w:r w:rsidRPr="00586886">
        <w:rPr>
          <w:rFonts w:ascii="Times New Roman" w:hAnsi="Times New Roman"/>
          <w:color w:val="666666"/>
          <w:sz w:val="22"/>
          <w:szCs w:val="22"/>
        </w:rPr>
        <w:t xml:space="preserve"> argue that behavioral finance’s criticism of the EMH rests on two key points. First, it is often difficult or risky for traders to take advantage of mispriced assets. For example, even if you know that a stock’s price is too low because investors have overreacted to recent bad news, a trader with limited capital may be reluctant to purchase the stock for fear that the same forces that pushed the price down may work to keep it artificially low for a long time. Similarly, during the recent stock market bubble, many traders who believed (correctly) that stock prices were too high lost a great deal of money selling stocks short in the early stages of the bubble, because prices went even higher before they eventually collapsed. Thus, </w:t>
      </w:r>
      <w:proofErr w:type="spellStart"/>
      <w:r w:rsidRPr="00586886">
        <w:rPr>
          <w:rFonts w:ascii="Times New Roman" w:hAnsi="Times New Roman"/>
          <w:color w:val="666666"/>
          <w:sz w:val="22"/>
          <w:szCs w:val="22"/>
        </w:rPr>
        <w:t>mispricings</w:t>
      </w:r>
      <w:proofErr w:type="spellEnd"/>
      <w:r w:rsidRPr="00586886">
        <w:rPr>
          <w:rFonts w:ascii="Times New Roman" w:hAnsi="Times New Roman"/>
          <w:color w:val="666666"/>
          <w:sz w:val="22"/>
          <w:szCs w:val="22"/>
        </w:rPr>
        <w:t xml:space="preserve"> may persist.</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 xml:space="preserve">The second point deals with why </w:t>
      </w:r>
      <w:proofErr w:type="spellStart"/>
      <w:r w:rsidRPr="00586886">
        <w:rPr>
          <w:rFonts w:ascii="Times New Roman" w:hAnsi="Times New Roman"/>
          <w:color w:val="666666"/>
          <w:sz w:val="22"/>
          <w:szCs w:val="22"/>
        </w:rPr>
        <w:t>mispricings</w:t>
      </w:r>
      <w:proofErr w:type="spellEnd"/>
      <w:r w:rsidRPr="00586886">
        <w:rPr>
          <w:rFonts w:ascii="Times New Roman" w:hAnsi="Times New Roman"/>
          <w:color w:val="666666"/>
          <w:sz w:val="22"/>
          <w:szCs w:val="22"/>
        </w:rPr>
        <w:t xml:space="preserve"> can occur in the first place. Here insights from psychology come into play. For example, </w:t>
      </w:r>
      <w:proofErr w:type="spellStart"/>
      <w:r w:rsidRPr="00586886">
        <w:rPr>
          <w:rFonts w:ascii="Times New Roman" w:hAnsi="Times New Roman"/>
          <w:color w:val="666666"/>
          <w:sz w:val="22"/>
          <w:szCs w:val="22"/>
        </w:rPr>
        <w:t>Kahneman</w:t>
      </w:r>
      <w:proofErr w:type="spellEnd"/>
      <w:r w:rsidRPr="00586886">
        <w:rPr>
          <w:rFonts w:ascii="Times New Roman" w:hAnsi="Times New Roman"/>
          <w:color w:val="666666"/>
          <w:sz w:val="22"/>
          <w:szCs w:val="22"/>
        </w:rPr>
        <w:t xml:space="preserve"> and </w:t>
      </w:r>
      <w:proofErr w:type="spellStart"/>
      <w:r w:rsidRPr="00586886">
        <w:rPr>
          <w:rFonts w:ascii="Times New Roman" w:hAnsi="Times New Roman"/>
          <w:color w:val="666666"/>
          <w:sz w:val="22"/>
          <w:szCs w:val="22"/>
        </w:rPr>
        <w:t>Tversky</w:t>
      </w:r>
      <w:proofErr w:type="spellEnd"/>
      <w:r w:rsidRPr="00586886">
        <w:rPr>
          <w:rFonts w:ascii="Times New Roman" w:hAnsi="Times New Roman"/>
          <w:color w:val="666666"/>
          <w:sz w:val="22"/>
          <w:szCs w:val="22"/>
        </w:rPr>
        <w:t xml:space="preserve"> suggested that individuals view potential losses and gains differently. If you ask average individuals whether they would rather have $500 with certainty or flip a fair coin and receive $1,000 if a head comes up and nothing if a tail comes up, most would prefer the certain $500, which suggests an aversion to risk. However, if you ask people whether they would rather pay $500 with certainty or flip a coin and pay $1,000 if it’s a head and nothing if it’s a tail, most would indicate that they prefer to flip the coin. Other studies suggest that people’s willingness to take a gamble depends on recent performance. Gamblers who are ahead tend to take on more risk, whereas those who are behind tend to become more conservative.</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 xml:space="preserve">These experiments suggest that investors and managers behave differently in down markets than they do in up markets, which might explain why those who made money early in the stock market bubble continued to invest their money in the market even as prices went ever higher. Other evidence suggests that individuals tend to overestimate their true abilities. For example, a large majority of people (upward of 90% in some studies) believe that they have above-average driving ability and above-average ability to get along with others. </w:t>
      </w:r>
      <w:proofErr w:type="spellStart"/>
      <w:r w:rsidRPr="00586886">
        <w:rPr>
          <w:rFonts w:ascii="Times New Roman" w:hAnsi="Times New Roman"/>
          <w:color w:val="666666"/>
          <w:sz w:val="22"/>
          <w:szCs w:val="22"/>
        </w:rPr>
        <w:t>Barberis</w:t>
      </w:r>
      <w:proofErr w:type="spellEnd"/>
      <w:r w:rsidRPr="00586886">
        <w:rPr>
          <w:rFonts w:ascii="Times New Roman" w:hAnsi="Times New Roman"/>
          <w:color w:val="666666"/>
          <w:sz w:val="22"/>
          <w:szCs w:val="22"/>
        </w:rPr>
        <w:t xml:space="preserve"> and </w:t>
      </w:r>
      <w:proofErr w:type="spellStart"/>
      <w:r w:rsidRPr="00586886">
        <w:rPr>
          <w:rFonts w:ascii="Times New Roman" w:hAnsi="Times New Roman"/>
          <w:color w:val="666666"/>
          <w:sz w:val="22"/>
          <w:szCs w:val="22"/>
        </w:rPr>
        <w:t>Thaler</w:t>
      </w:r>
      <w:proofErr w:type="spellEnd"/>
      <w:r w:rsidRPr="00586886">
        <w:rPr>
          <w:rFonts w:ascii="Times New Roman" w:hAnsi="Times New Roman"/>
          <w:color w:val="666666"/>
          <w:sz w:val="22"/>
          <w:szCs w:val="22"/>
        </w:rPr>
        <w:t xml:space="preserve"> point out that:</w:t>
      </w:r>
    </w:p>
    <w:p w:rsidR="00586886" w:rsidRPr="00586886" w:rsidRDefault="00586886" w:rsidP="00586886">
      <w:pPr>
        <w:pStyle w:val="a3"/>
        <w:shd w:val="clear" w:color="auto" w:fill="F1F1F1"/>
        <w:spacing w:before="0" w:beforeAutospacing="0" w:after="90" w:afterAutospacing="0"/>
        <w:rPr>
          <w:rFonts w:ascii="Times New Roman" w:hAnsi="Times New Roman"/>
          <w:i/>
          <w:iCs/>
          <w:color w:val="666666"/>
          <w:sz w:val="22"/>
          <w:szCs w:val="22"/>
        </w:rPr>
      </w:pPr>
      <w:r w:rsidRPr="00586886">
        <w:rPr>
          <w:rFonts w:ascii="Times New Roman" w:hAnsi="Times New Roman"/>
          <w:i/>
          <w:iCs/>
          <w:color w:val="666666"/>
          <w:sz w:val="22"/>
          <w:szCs w:val="22"/>
        </w:rPr>
        <w:t>Overconfidence may in part stem from two other biases, self-attribution bias and hindsight bias. Self-attribution bias refers to people’s tendency to ascribe any success they have in some activity to their own talents, while blaming failure on bad luck rather than on their ineptitude. Doing this repeatedly will lead people to the pleasing, but erroneous, conclusion that they are very talented. For example, investors might become overconfident after several quarters of investing success [</w:t>
      </w:r>
      <w:proofErr w:type="spellStart"/>
      <w:r w:rsidRPr="00586886">
        <w:rPr>
          <w:rFonts w:ascii="Times New Roman" w:hAnsi="Times New Roman"/>
          <w:i/>
          <w:iCs/>
          <w:color w:val="666666"/>
          <w:sz w:val="22"/>
          <w:szCs w:val="22"/>
        </w:rPr>
        <w:t>Gervais</w:t>
      </w:r>
      <w:proofErr w:type="spellEnd"/>
      <w:r w:rsidRPr="00586886">
        <w:rPr>
          <w:rFonts w:ascii="Times New Roman" w:hAnsi="Times New Roman"/>
          <w:i/>
          <w:iCs/>
          <w:color w:val="666666"/>
          <w:sz w:val="22"/>
          <w:szCs w:val="22"/>
        </w:rPr>
        <w:t xml:space="preserve"> and </w:t>
      </w:r>
      <w:proofErr w:type="spellStart"/>
      <w:r w:rsidRPr="00586886">
        <w:rPr>
          <w:rFonts w:ascii="Times New Roman" w:hAnsi="Times New Roman"/>
          <w:i/>
          <w:iCs/>
          <w:color w:val="666666"/>
          <w:sz w:val="22"/>
          <w:szCs w:val="22"/>
        </w:rPr>
        <w:t>Odean</w:t>
      </w:r>
      <w:proofErr w:type="spellEnd"/>
      <w:r w:rsidRPr="00586886">
        <w:rPr>
          <w:rFonts w:ascii="Times New Roman" w:hAnsi="Times New Roman"/>
          <w:i/>
          <w:iCs/>
          <w:color w:val="666666"/>
          <w:sz w:val="22"/>
          <w:szCs w:val="22"/>
        </w:rPr>
        <w:t xml:space="preserve"> (2001)]. Hindsight bias is the tendency of people to believe, after an event has occurred, that they predicted it before it happened. If people think they predicted the past better than they actually did, they may also believe that they can predict the future better than they actually can.</w:t>
      </w:r>
      <w:r w:rsidRPr="00586886">
        <w:rPr>
          <w:rFonts w:ascii="Times New Roman" w:hAnsi="Times New Roman"/>
          <w:i/>
          <w:iCs/>
          <w:noProof/>
          <w:color w:val="008CD2"/>
          <w:sz w:val="22"/>
          <w:szCs w:val="22"/>
        </w:rPr>
        <w:drawing>
          <wp:inline distT="0" distB="0" distL="0" distR="0" wp14:anchorId="58C0E89B" wp14:editId="7BA87492">
            <wp:extent cx="167005" cy="167005"/>
            <wp:effectExtent l="0" t="0" r="10795" b="10795"/>
            <wp:docPr id="26" name="图片 26"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bookmarkStart w:id="23" w:name="PageEnd_52"/>
      <w:bookmarkEnd w:id="23"/>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 xml:space="preserve">Behavioral finance has been studied in both the corporate finance and investments areas. For example, Mark </w:t>
      </w:r>
      <w:proofErr w:type="spellStart"/>
      <w:r w:rsidRPr="00586886">
        <w:rPr>
          <w:rFonts w:ascii="Times New Roman" w:hAnsi="Times New Roman"/>
          <w:color w:val="666666"/>
          <w:sz w:val="22"/>
          <w:szCs w:val="22"/>
        </w:rPr>
        <w:t>Grinblatt</w:t>
      </w:r>
      <w:proofErr w:type="spellEnd"/>
      <w:r w:rsidRPr="00586886">
        <w:rPr>
          <w:rFonts w:ascii="Times New Roman" w:hAnsi="Times New Roman"/>
          <w:color w:val="666666"/>
          <w:sz w:val="22"/>
          <w:szCs w:val="22"/>
        </w:rPr>
        <w:t xml:space="preserve"> and </w:t>
      </w:r>
      <w:proofErr w:type="spellStart"/>
      <w:r w:rsidRPr="00586886">
        <w:rPr>
          <w:rFonts w:ascii="Times New Roman" w:hAnsi="Times New Roman"/>
          <w:color w:val="666666"/>
          <w:sz w:val="22"/>
          <w:szCs w:val="22"/>
        </w:rPr>
        <w:t>Matti</w:t>
      </w:r>
      <w:proofErr w:type="spellEnd"/>
      <w:r w:rsidRPr="00586886">
        <w:rPr>
          <w:rFonts w:ascii="Times New Roman" w:hAnsi="Times New Roman"/>
          <w:color w:val="666666"/>
          <w:sz w:val="22"/>
          <w:szCs w:val="22"/>
        </w:rPr>
        <w:t xml:space="preserve"> </w:t>
      </w:r>
      <w:proofErr w:type="spellStart"/>
      <w:r w:rsidRPr="00586886">
        <w:rPr>
          <w:rFonts w:ascii="Times New Roman" w:hAnsi="Times New Roman"/>
          <w:color w:val="666666"/>
          <w:sz w:val="22"/>
          <w:szCs w:val="22"/>
        </w:rPr>
        <w:t>Keloharju</w:t>
      </w:r>
      <w:proofErr w:type="spellEnd"/>
      <w:r w:rsidRPr="00586886">
        <w:rPr>
          <w:rFonts w:ascii="Times New Roman" w:hAnsi="Times New Roman"/>
          <w:color w:val="666666"/>
          <w:sz w:val="22"/>
          <w:szCs w:val="22"/>
        </w:rPr>
        <w:t xml:space="preserve"> conducted a recent study demonstrating that investors who are characterized as being overconfident and prone to “seeking sensations” trade more frequently.</w:t>
      </w:r>
      <w:r w:rsidRPr="00586886">
        <w:rPr>
          <w:rFonts w:ascii="Times New Roman" w:hAnsi="Times New Roman"/>
          <w:noProof/>
          <w:color w:val="008CD2"/>
          <w:sz w:val="22"/>
          <w:szCs w:val="22"/>
        </w:rPr>
        <w:drawing>
          <wp:inline distT="0" distB="0" distL="0" distR="0" wp14:anchorId="088D0552" wp14:editId="2511CD11">
            <wp:extent cx="167005" cy="167005"/>
            <wp:effectExtent l="0" t="0" r="10795" b="10795"/>
            <wp:docPr id="27" name="图片 27"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 xml:space="preserve">Likewise, a study by Ulrike </w:t>
      </w:r>
      <w:proofErr w:type="spellStart"/>
      <w:r w:rsidRPr="00586886">
        <w:rPr>
          <w:rFonts w:ascii="Times New Roman" w:hAnsi="Times New Roman"/>
          <w:color w:val="666666"/>
          <w:sz w:val="22"/>
          <w:szCs w:val="22"/>
        </w:rPr>
        <w:t>Malmendier</w:t>
      </w:r>
      <w:proofErr w:type="spellEnd"/>
      <w:r w:rsidRPr="00586886">
        <w:rPr>
          <w:rFonts w:ascii="Times New Roman" w:hAnsi="Times New Roman"/>
          <w:color w:val="666666"/>
          <w:sz w:val="22"/>
          <w:szCs w:val="22"/>
        </w:rPr>
        <w:t xml:space="preserve"> of Stanford and Geoffrey Tate of Wharton found that overconfidence leads managers to overestimate their ability and thus the profitability of their projects.</w:t>
      </w:r>
      <w:r w:rsidRPr="00586886">
        <w:rPr>
          <w:rFonts w:ascii="Times New Roman" w:hAnsi="Times New Roman"/>
          <w:noProof/>
          <w:color w:val="008CD2"/>
          <w:sz w:val="22"/>
          <w:szCs w:val="22"/>
        </w:rPr>
        <w:drawing>
          <wp:inline distT="0" distB="0" distL="0" distR="0" wp14:anchorId="36F4DA72" wp14:editId="6A6D1603">
            <wp:extent cx="167005" cy="167005"/>
            <wp:effectExtent l="0" t="0" r="10795" b="10795"/>
            <wp:docPr id="28" name="图片 28" descr="http://ng.cengage.com/static/nbapps/glossary/images/footstar.png">
              <a:hlinkClick xmlns:a="http://schemas.openxmlformats.org/drawingml/2006/main" r:id="rId46" tooltip="&quot;Footnot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ng.cengage.com/static/nbapps/glossary/images/footstar.png">
                      <a:hlinkClick r:id="rId46" tooltip="&quot;Footnote&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005" cy="167005"/>
                    </a:xfrm>
                    <a:prstGeom prst="rect">
                      <a:avLst/>
                    </a:prstGeom>
                    <a:noFill/>
                    <a:ln>
                      <a:noFill/>
                    </a:ln>
                  </pic:spPr>
                </pic:pic>
              </a:graphicData>
            </a:graphic>
          </wp:inline>
        </w:drawing>
      </w:r>
      <w:r w:rsidRPr="00586886">
        <w:rPr>
          <w:rStyle w:val="apple-converted-space"/>
          <w:rFonts w:ascii="Times New Roman" w:hAnsi="Times New Roman"/>
          <w:color w:val="666666"/>
          <w:sz w:val="22"/>
          <w:szCs w:val="22"/>
        </w:rPr>
        <w:t> </w:t>
      </w:r>
      <w:r w:rsidRPr="00586886">
        <w:rPr>
          <w:rFonts w:ascii="Times New Roman" w:hAnsi="Times New Roman"/>
          <w:color w:val="666666"/>
          <w:sz w:val="22"/>
          <w:szCs w:val="22"/>
        </w:rPr>
        <w:t>This may explain why so many corporate projects fail to live up to their stated expectations.</w:t>
      </w:r>
    </w:p>
    <w:p w:rsidR="00586886" w:rsidRPr="00586886" w:rsidRDefault="00586886" w:rsidP="00586886">
      <w:pPr>
        <w:pStyle w:val="2"/>
        <w:shd w:val="clear" w:color="auto" w:fill="FFFFFF"/>
        <w:spacing w:before="0" w:after="0"/>
        <w:rPr>
          <w:rFonts w:ascii="Times New Roman" w:eastAsia="Times New Roman" w:hAnsi="Times New Roman" w:cs="Times New Roman"/>
          <w:color w:val="DF7300"/>
          <w:sz w:val="22"/>
          <w:szCs w:val="22"/>
        </w:rPr>
      </w:pPr>
      <w:r w:rsidRPr="00586886">
        <w:rPr>
          <w:rStyle w:val="sectionlabel"/>
          <w:rFonts w:ascii="Times New Roman" w:eastAsia="Times New Roman" w:hAnsi="Times New Roman" w:cs="Times New Roman"/>
          <w:color w:val="7A7A7A"/>
          <w:sz w:val="22"/>
          <w:szCs w:val="22"/>
        </w:rPr>
        <w:t>2-7B</w:t>
      </w:r>
      <w:r w:rsidRPr="00586886">
        <w:rPr>
          <w:rStyle w:val="headingtext"/>
          <w:rFonts w:ascii="Times New Roman" w:eastAsia="Times New Roman" w:hAnsi="Times New Roman" w:cs="Times New Roman"/>
          <w:color w:val="DF7300"/>
          <w:sz w:val="22"/>
          <w:szCs w:val="22"/>
        </w:rPr>
        <w:t>Conclusions about Market Efficiency</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As noted previously, if the stock market is efficient, it is a waste of time for most people to seek bargains by analyzing published data on stocks. That follows because if stock prices already reflect all publicly available information, they will be fairly priced; and a person can beat the market only with luck or inside information. So rather than spending time and money trying to find undervalued stocks, it would be better to buy an index fund designed to match the overall market as reflected in an index such as the S&amp;P 500. However, if we worked for an institution with billions of dollars, we would try to find undervalued stocks or companies because even a small undervaluation would amount to a great deal of money when investing millions rather than thousands. Also, markets are more efficient for individual stocks than for entire companies; so for investors with enough capital, it does make sense to seek out badly managed companies that can be acquired and improved. Note, though, that a number of private equity players are doing exactly that; so the market for entire companies may soon be as efficient as that for individual stocks.</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r w:rsidRPr="00586886">
        <w:rPr>
          <w:rFonts w:ascii="Times New Roman" w:hAnsi="Times New Roman"/>
          <w:color w:val="666666"/>
          <w:sz w:val="22"/>
          <w:szCs w:val="22"/>
        </w:rPr>
        <w:t>However, even if markets are efficient and all stocks and companies are fairly priced, an investor should still be careful when selecting stocks for his or her portfolio. Most importantly, the portfolio should be diversified, with a mix of stocks from various industries along with some bonds and other fixed-income securities. We will discuss diversification in greater detail in</w:t>
      </w:r>
      <w:r w:rsidRPr="00586886">
        <w:rPr>
          <w:rStyle w:val="apple-converted-space"/>
          <w:rFonts w:ascii="Times New Roman" w:hAnsi="Times New Roman"/>
          <w:color w:val="666666"/>
          <w:sz w:val="22"/>
          <w:szCs w:val="22"/>
        </w:rPr>
        <w:t> </w:t>
      </w:r>
      <w:hyperlink r:id="rId48" w:history="1">
        <w:r w:rsidRPr="00586886">
          <w:rPr>
            <w:rStyle w:val="a5"/>
            <w:rFonts w:ascii="Times New Roman" w:hAnsi="Times New Roman"/>
            <w:color w:val="008CD2"/>
            <w:sz w:val="22"/>
            <w:szCs w:val="22"/>
          </w:rPr>
          <w:t>Chapter 8</w:t>
        </w:r>
      </w:hyperlink>
      <w:r w:rsidRPr="00586886">
        <w:rPr>
          <w:rFonts w:ascii="Times New Roman" w:hAnsi="Times New Roman"/>
          <w:color w:val="666666"/>
          <w:sz w:val="22"/>
          <w:szCs w:val="22"/>
        </w:rPr>
        <w:t>, but it is an important consideration for most individual investors.</w:t>
      </w: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p>
    <w:p w:rsidR="00586886" w:rsidRPr="00586886" w:rsidRDefault="00586886" w:rsidP="00586886">
      <w:pPr>
        <w:widowControl/>
        <w:shd w:val="clear" w:color="auto" w:fill="FFFFFF"/>
        <w:spacing w:after="225" w:line="486" w:lineRule="atLeast"/>
        <w:ind w:left="975" w:right="1500"/>
        <w:jc w:val="left"/>
        <w:rPr>
          <w:rFonts w:ascii="Times New Roman" w:hAnsi="Times New Roman" w:cs="Times New Roman"/>
          <w:color w:val="666666"/>
          <w:kern w:val="0"/>
          <w:sz w:val="22"/>
          <w:szCs w:val="22"/>
        </w:rPr>
      </w:pPr>
    </w:p>
    <w:p w:rsidR="00586886" w:rsidRPr="00586886" w:rsidRDefault="00586886" w:rsidP="00586886">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rsidP="006D4E15">
      <w:pPr>
        <w:pStyle w:val="a3"/>
        <w:shd w:val="clear" w:color="auto" w:fill="FFFFFF"/>
        <w:spacing w:before="0" w:beforeAutospacing="0" w:after="225" w:afterAutospacing="0"/>
        <w:ind w:left="975" w:right="1500"/>
        <w:rPr>
          <w:rFonts w:ascii="Times New Roman" w:hAnsi="Times New Roman"/>
          <w:color w:val="666666"/>
          <w:sz w:val="22"/>
          <w:szCs w:val="22"/>
        </w:rPr>
      </w:pPr>
    </w:p>
    <w:p w:rsidR="006D4E15" w:rsidRPr="00586886" w:rsidRDefault="006D4E15">
      <w:pPr>
        <w:rPr>
          <w:rFonts w:ascii="Times New Roman" w:hAnsi="Times New Roman" w:cs="Times New Roman"/>
          <w:sz w:val="22"/>
          <w:szCs w:val="22"/>
        </w:rPr>
      </w:pPr>
    </w:p>
    <w:bookmarkEnd w:id="0"/>
    <w:sectPr w:rsidR="006D4E15" w:rsidRPr="00586886" w:rsidSect="006D4E15">
      <w:pgSz w:w="12240" w:h="15840"/>
      <w:pgMar w:top="1440" w:right="1440" w:bottom="1440" w:left="1440" w:header="720" w:footer="720" w:gutter="0"/>
      <w:cols w:space="720"/>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4322F"/>
    <w:multiLevelType w:val="multilevel"/>
    <w:tmpl w:val="E8746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DAA71F8"/>
    <w:multiLevelType w:val="multilevel"/>
    <w:tmpl w:val="16C04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4F06A2B"/>
    <w:multiLevelType w:val="multilevel"/>
    <w:tmpl w:val="7C983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5EE6BBD"/>
    <w:multiLevelType w:val="multilevel"/>
    <w:tmpl w:val="0BC62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1CE041F"/>
    <w:multiLevelType w:val="multilevel"/>
    <w:tmpl w:val="7D907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24239DA"/>
    <w:multiLevelType w:val="multilevel"/>
    <w:tmpl w:val="4AA86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4"/>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bordersDoNotSurroundHeader/>
  <w:bordersDoNotSurroundFooter/>
  <w:proofState w:spelling="clean"/>
  <w:defaultTabStop w:val="420"/>
  <w:drawingGridHorizontalSpacing w:val="120"/>
  <w:drawingGridVerticalSpacing w:val="423"/>
  <w:displayHorizontalDrawingGridEvery w:val="0"/>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4E15"/>
    <w:rsid w:val="00586886"/>
    <w:rsid w:val="006D4E15"/>
    <w:rsid w:val="00B35E14"/>
    <w:rsid w:val="00C90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3AD7C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6D4E15"/>
    <w:pPr>
      <w:widowControl/>
      <w:spacing w:before="100" w:beforeAutospacing="1" w:after="100" w:afterAutospacing="1"/>
      <w:jc w:val="left"/>
      <w:outlineLvl w:val="0"/>
    </w:pPr>
    <w:rPr>
      <w:rFonts w:ascii="Times" w:hAnsi="Times"/>
      <w:b/>
      <w:bCs/>
      <w:kern w:val="36"/>
      <w:sz w:val="48"/>
      <w:szCs w:val="48"/>
    </w:rPr>
  </w:style>
  <w:style w:type="paragraph" w:styleId="2">
    <w:name w:val="heading 2"/>
    <w:basedOn w:val="a"/>
    <w:next w:val="a"/>
    <w:link w:val="20"/>
    <w:uiPriority w:val="9"/>
    <w:semiHidden/>
    <w:unhideWhenUsed/>
    <w:qFormat/>
    <w:rsid w:val="006D4E1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6D4E15"/>
    <w:pPr>
      <w:widowControl/>
      <w:spacing w:before="100" w:beforeAutospacing="1" w:after="100"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6D4E15"/>
    <w:rPr>
      <w:rFonts w:ascii="Times" w:hAnsi="Times"/>
      <w:b/>
      <w:bCs/>
      <w:kern w:val="36"/>
      <w:sz w:val="48"/>
      <w:szCs w:val="48"/>
    </w:rPr>
  </w:style>
  <w:style w:type="character" w:customStyle="1" w:styleId="30">
    <w:name w:val="标题 3字符"/>
    <w:basedOn w:val="a0"/>
    <w:link w:val="3"/>
    <w:uiPriority w:val="9"/>
    <w:rsid w:val="006D4E15"/>
    <w:rPr>
      <w:rFonts w:ascii="Times" w:hAnsi="Times"/>
      <w:b/>
      <w:bCs/>
      <w:kern w:val="0"/>
      <w:sz w:val="27"/>
      <w:szCs w:val="27"/>
    </w:rPr>
  </w:style>
  <w:style w:type="character" w:customStyle="1" w:styleId="headingtext">
    <w:name w:val="headingtext"/>
    <w:basedOn w:val="a0"/>
    <w:rsid w:val="006D4E15"/>
  </w:style>
  <w:style w:type="paragraph" w:styleId="a3">
    <w:name w:val="Normal (Web)"/>
    <w:basedOn w:val="a"/>
    <w:uiPriority w:val="99"/>
    <w:unhideWhenUsed/>
    <w:rsid w:val="006D4E15"/>
    <w:pPr>
      <w:widowControl/>
      <w:spacing w:before="100" w:beforeAutospacing="1" w:after="100" w:afterAutospacing="1"/>
      <w:jc w:val="left"/>
    </w:pPr>
    <w:rPr>
      <w:rFonts w:ascii="Times" w:hAnsi="Times" w:cs="Times New Roman"/>
      <w:kern w:val="0"/>
      <w:sz w:val="20"/>
      <w:szCs w:val="20"/>
    </w:rPr>
  </w:style>
  <w:style w:type="character" w:styleId="a4">
    <w:name w:val="Emphasis"/>
    <w:basedOn w:val="a0"/>
    <w:uiPriority w:val="20"/>
    <w:qFormat/>
    <w:rsid w:val="006D4E15"/>
    <w:rPr>
      <w:i/>
      <w:iCs/>
    </w:rPr>
  </w:style>
  <w:style w:type="character" w:customStyle="1" w:styleId="apple-converted-space">
    <w:name w:val="apple-converted-space"/>
    <w:basedOn w:val="a0"/>
    <w:rsid w:val="006D4E15"/>
  </w:style>
  <w:style w:type="character" w:customStyle="1" w:styleId="reference">
    <w:name w:val="reference"/>
    <w:basedOn w:val="a0"/>
    <w:rsid w:val="006D4E15"/>
  </w:style>
  <w:style w:type="character" w:styleId="a5">
    <w:name w:val="Hyperlink"/>
    <w:basedOn w:val="a0"/>
    <w:uiPriority w:val="99"/>
    <w:semiHidden/>
    <w:unhideWhenUsed/>
    <w:rsid w:val="006D4E15"/>
    <w:rPr>
      <w:color w:val="0000FF"/>
      <w:u w:val="single"/>
    </w:rPr>
  </w:style>
  <w:style w:type="character" w:customStyle="1" w:styleId="sectionlabel">
    <w:name w:val="sectionlabel"/>
    <w:basedOn w:val="a0"/>
    <w:rsid w:val="006D4E15"/>
  </w:style>
  <w:style w:type="character" w:customStyle="1" w:styleId="medialabeltext">
    <w:name w:val="medialabeltext"/>
    <w:basedOn w:val="a0"/>
    <w:rsid w:val="006D4E15"/>
  </w:style>
  <w:style w:type="character" w:customStyle="1" w:styleId="mediafigurenumber">
    <w:name w:val="mediafigurenumber"/>
    <w:basedOn w:val="a0"/>
    <w:rsid w:val="006D4E15"/>
  </w:style>
  <w:style w:type="character" w:customStyle="1" w:styleId="mediaassettitle">
    <w:name w:val="mediaassettitle"/>
    <w:basedOn w:val="a0"/>
    <w:rsid w:val="006D4E15"/>
  </w:style>
  <w:style w:type="character" w:customStyle="1" w:styleId="footnote">
    <w:name w:val="footnote"/>
    <w:basedOn w:val="a0"/>
    <w:rsid w:val="006D4E15"/>
  </w:style>
  <w:style w:type="paragraph" w:styleId="a6">
    <w:name w:val="Balloon Text"/>
    <w:basedOn w:val="a"/>
    <w:link w:val="a7"/>
    <w:uiPriority w:val="99"/>
    <w:semiHidden/>
    <w:unhideWhenUsed/>
    <w:rsid w:val="006D4E15"/>
    <w:rPr>
      <w:rFonts w:ascii="Lucida Grande" w:hAnsi="Lucida Grande" w:cs="Lucida Grande"/>
      <w:sz w:val="18"/>
      <w:szCs w:val="18"/>
    </w:rPr>
  </w:style>
  <w:style w:type="character" w:customStyle="1" w:styleId="a7">
    <w:name w:val="批注框文本字符"/>
    <w:basedOn w:val="a0"/>
    <w:link w:val="a6"/>
    <w:uiPriority w:val="99"/>
    <w:semiHidden/>
    <w:rsid w:val="006D4E15"/>
    <w:rPr>
      <w:rFonts w:ascii="Lucida Grande" w:hAnsi="Lucida Grande" w:cs="Lucida Grande"/>
      <w:sz w:val="18"/>
      <w:szCs w:val="18"/>
    </w:rPr>
  </w:style>
  <w:style w:type="character" w:customStyle="1" w:styleId="20">
    <w:name w:val="标题 2字符"/>
    <w:basedOn w:val="a0"/>
    <w:link w:val="2"/>
    <w:uiPriority w:val="9"/>
    <w:semiHidden/>
    <w:rsid w:val="006D4E15"/>
    <w:rPr>
      <w:rFonts w:asciiTheme="majorHAnsi" w:eastAsiaTheme="majorEastAsia" w:hAnsiTheme="majorHAnsi" w:cstheme="majorBidi"/>
      <w:b/>
      <w:bCs/>
      <w:sz w:val="32"/>
      <w:szCs w:val="32"/>
    </w:rPr>
  </w:style>
  <w:style w:type="character" w:customStyle="1" w:styleId="primaryterm">
    <w:name w:val="primaryterm"/>
    <w:basedOn w:val="a0"/>
    <w:rsid w:val="006D4E15"/>
  </w:style>
  <w:style w:type="character" w:customStyle="1" w:styleId="label">
    <w:name w:val="label"/>
    <w:basedOn w:val="a0"/>
    <w:rsid w:val="006D4E15"/>
  </w:style>
  <w:style w:type="character" w:customStyle="1" w:styleId="ordinal">
    <w:name w:val="ordinal"/>
    <w:basedOn w:val="a0"/>
    <w:rsid w:val="006D4E1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0"/>
    <w:uiPriority w:val="9"/>
    <w:qFormat/>
    <w:rsid w:val="006D4E15"/>
    <w:pPr>
      <w:widowControl/>
      <w:spacing w:before="100" w:beforeAutospacing="1" w:after="100" w:afterAutospacing="1"/>
      <w:jc w:val="left"/>
      <w:outlineLvl w:val="0"/>
    </w:pPr>
    <w:rPr>
      <w:rFonts w:ascii="Times" w:hAnsi="Times"/>
      <w:b/>
      <w:bCs/>
      <w:kern w:val="36"/>
      <w:sz w:val="48"/>
      <w:szCs w:val="48"/>
    </w:rPr>
  </w:style>
  <w:style w:type="paragraph" w:styleId="2">
    <w:name w:val="heading 2"/>
    <w:basedOn w:val="a"/>
    <w:next w:val="a"/>
    <w:link w:val="20"/>
    <w:uiPriority w:val="9"/>
    <w:semiHidden/>
    <w:unhideWhenUsed/>
    <w:qFormat/>
    <w:rsid w:val="006D4E1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0"/>
    <w:uiPriority w:val="9"/>
    <w:qFormat/>
    <w:rsid w:val="006D4E15"/>
    <w:pPr>
      <w:widowControl/>
      <w:spacing w:before="100" w:beforeAutospacing="1" w:after="100" w:afterAutospacing="1"/>
      <w:jc w:val="left"/>
      <w:outlineLvl w:val="2"/>
    </w:pPr>
    <w:rPr>
      <w:rFonts w:ascii="Times" w:hAnsi="Times"/>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字符"/>
    <w:basedOn w:val="a0"/>
    <w:link w:val="1"/>
    <w:uiPriority w:val="9"/>
    <w:rsid w:val="006D4E15"/>
    <w:rPr>
      <w:rFonts w:ascii="Times" w:hAnsi="Times"/>
      <w:b/>
      <w:bCs/>
      <w:kern w:val="36"/>
      <w:sz w:val="48"/>
      <w:szCs w:val="48"/>
    </w:rPr>
  </w:style>
  <w:style w:type="character" w:customStyle="1" w:styleId="30">
    <w:name w:val="标题 3字符"/>
    <w:basedOn w:val="a0"/>
    <w:link w:val="3"/>
    <w:uiPriority w:val="9"/>
    <w:rsid w:val="006D4E15"/>
    <w:rPr>
      <w:rFonts w:ascii="Times" w:hAnsi="Times"/>
      <w:b/>
      <w:bCs/>
      <w:kern w:val="0"/>
      <w:sz w:val="27"/>
      <w:szCs w:val="27"/>
    </w:rPr>
  </w:style>
  <w:style w:type="character" w:customStyle="1" w:styleId="headingtext">
    <w:name w:val="headingtext"/>
    <w:basedOn w:val="a0"/>
    <w:rsid w:val="006D4E15"/>
  </w:style>
  <w:style w:type="paragraph" w:styleId="a3">
    <w:name w:val="Normal (Web)"/>
    <w:basedOn w:val="a"/>
    <w:uiPriority w:val="99"/>
    <w:unhideWhenUsed/>
    <w:rsid w:val="006D4E15"/>
    <w:pPr>
      <w:widowControl/>
      <w:spacing w:before="100" w:beforeAutospacing="1" w:after="100" w:afterAutospacing="1"/>
      <w:jc w:val="left"/>
    </w:pPr>
    <w:rPr>
      <w:rFonts w:ascii="Times" w:hAnsi="Times" w:cs="Times New Roman"/>
      <w:kern w:val="0"/>
      <w:sz w:val="20"/>
      <w:szCs w:val="20"/>
    </w:rPr>
  </w:style>
  <w:style w:type="character" w:styleId="a4">
    <w:name w:val="Emphasis"/>
    <w:basedOn w:val="a0"/>
    <w:uiPriority w:val="20"/>
    <w:qFormat/>
    <w:rsid w:val="006D4E15"/>
    <w:rPr>
      <w:i/>
      <w:iCs/>
    </w:rPr>
  </w:style>
  <w:style w:type="character" w:customStyle="1" w:styleId="apple-converted-space">
    <w:name w:val="apple-converted-space"/>
    <w:basedOn w:val="a0"/>
    <w:rsid w:val="006D4E15"/>
  </w:style>
  <w:style w:type="character" w:customStyle="1" w:styleId="reference">
    <w:name w:val="reference"/>
    <w:basedOn w:val="a0"/>
    <w:rsid w:val="006D4E15"/>
  </w:style>
  <w:style w:type="character" w:styleId="a5">
    <w:name w:val="Hyperlink"/>
    <w:basedOn w:val="a0"/>
    <w:uiPriority w:val="99"/>
    <w:semiHidden/>
    <w:unhideWhenUsed/>
    <w:rsid w:val="006D4E15"/>
    <w:rPr>
      <w:color w:val="0000FF"/>
      <w:u w:val="single"/>
    </w:rPr>
  </w:style>
  <w:style w:type="character" w:customStyle="1" w:styleId="sectionlabel">
    <w:name w:val="sectionlabel"/>
    <w:basedOn w:val="a0"/>
    <w:rsid w:val="006D4E15"/>
  </w:style>
  <w:style w:type="character" w:customStyle="1" w:styleId="medialabeltext">
    <w:name w:val="medialabeltext"/>
    <w:basedOn w:val="a0"/>
    <w:rsid w:val="006D4E15"/>
  </w:style>
  <w:style w:type="character" w:customStyle="1" w:styleId="mediafigurenumber">
    <w:name w:val="mediafigurenumber"/>
    <w:basedOn w:val="a0"/>
    <w:rsid w:val="006D4E15"/>
  </w:style>
  <w:style w:type="character" w:customStyle="1" w:styleId="mediaassettitle">
    <w:name w:val="mediaassettitle"/>
    <w:basedOn w:val="a0"/>
    <w:rsid w:val="006D4E15"/>
  </w:style>
  <w:style w:type="character" w:customStyle="1" w:styleId="footnote">
    <w:name w:val="footnote"/>
    <w:basedOn w:val="a0"/>
    <w:rsid w:val="006D4E15"/>
  </w:style>
  <w:style w:type="paragraph" w:styleId="a6">
    <w:name w:val="Balloon Text"/>
    <w:basedOn w:val="a"/>
    <w:link w:val="a7"/>
    <w:uiPriority w:val="99"/>
    <w:semiHidden/>
    <w:unhideWhenUsed/>
    <w:rsid w:val="006D4E15"/>
    <w:rPr>
      <w:rFonts w:ascii="Lucida Grande" w:hAnsi="Lucida Grande" w:cs="Lucida Grande"/>
      <w:sz w:val="18"/>
      <w:szCs w:val="18"/>
    </w:rPr>
  </w:style>
  <w:style w:type="character" w:customStyle="1" w:styleId="a7">
    <w:name w:val="批注框文本字符"/>
    <w:basedOn w:val="a0"/>
    <w:link w:val="a6"/>
    <w:uiPriority w:val="99"/>
    <w:semiHidden/>
    <w:rsid w:val="006D4E15"/>
    <w:rPr>
      <w:rFonts w:ascii="Lucida Grande" w:hAnsi="Lucida Grande" w:cs="Lucida Grande"/>
      <w:sz w:val="18"/>
      <w:szCs w:val="18"/>
    </w:rPr>
  </w:style>
  <w:style w:type="character" w:customStyle="1" w:styleId="20">
    <w:name w:val="标题 2字符"/>
    <w:basedOn w:val="a0"/>
    <w:link w:val="2"/>
    <w:uiPriority w:val="9"/>
    <w:semiHidden/>
    <w:rsid w:val="006D4E15"/>
    <w:rPr>
      <w:rFonts w:asciiTheme="majorHAnsi" w:eastAsiaTheme="majorEastAsia" w:hAnsiTheme="majorHAnsi" w:cstheme="majorBidi"/>
      <w:b/>
      <w:bCs/>
      <w:sz w:val="32"/>
      <w:szCs w:val="32"/>
    </w:rPr>
  </w:style>
  <w:style w:type="character" w:customStyle="1" w:styleId="primaryterm">
    <w:name w:val="primaryterm"/>
    <w:basedOn w:val="a0"/>
    <w:rsid w:val="006D4E15"/>
  </w:style>
  <w:style w:type="character" w:customStyle="1" w:styleId="label">
    <w:name w:val="label"/>
    <w:basedOn w:val="a0"/>
    <w:rsid w:val="006D4E15"/>
  </w:style>
  <w:style w:type="character" w:customStyle="1" w:styleId="ordinal">
    <w:name w:val="ordinal"/>
    <w:basedOn w:val="a0"/>
    <w:rsid w:val="006D4E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707609">
      <w:bodyDiv w:val="1"/>
      <w:marLeft w:val="0"/>
      <w:marRight w:val="0"/>
      <w:marTop w:val="0"/>
      <w:marBottom w:val="0"/>
      <w:divBdr>
        <w:top w:val="none" w:sz="0" w:space="0" w:color="auto"/>
        <w:left w:val="none" w:sz="0" w:space="0" w:color="auto"/>
        <w:bottom w:val="none" w:sz="0" w:space="0" w:color="auto"/>
        <w:right w:val="none" w:sz="0" w:space="0" w:color="auto"/>
      </w:divBdr>
      <w:divsChild>
        <w:div w:id="949511312">
          <w:marLeft w:val="0"/>
          <w:marRight w:val="0"/>
          <w:marTop w:val="0"/>
          <w:marBottom w:val="180"/>
          <w:divBdr>
            <w:top w:val="none" w:sz="0" w:space="0" w:color="auto"/>
            <w:left w:val="none" w:sz="0" w:space="0" w:color="auto"/>
            <w:bottom w:val="none" w:sz="0" w:space="0" w:color="auto"/>
            <w:right w:val="none" w:sz="0" w:space="0" w:color="auto"/>
          </w:divBdr>
        </w:div>
        <w:div w:id="411851198">
          <w:marLeft w:val="0"/>
          <w:marRight w:val="0"/>
          <w:marTop w:val="0"/>
          <w:marBottom w:val="1800"/>
          <w:divBdr>
            <w:top w:val="none" w:sz="0" w:space="0" w:color="auto"/>
            <w:left w:val="none" w:sz="0" w:space="0" w:color="auto"/>
            <w:bottom w:val="none" w:sz="0" w:space="0" w:color="auto"/>
            <w:right w:val="none" w:sz="0" w:space="0" w:color="auto"/>
          </w:divBdr>
        </w:div>
      </w:divsChild>
    </w:div>
    <w:div w:id="312099290">
      <w:bodyDiv w:val="1"/>
      <w:marLeft w:val="0"/>
      <w:marRight w:val="0"/>
      <w:marTop w:val="0"/>
      <w:marBottom w:val="0"/>
      <w:divBdr>
        <w:top w:val="none" w:sz="0" w:space="0" w:color="auto"/>
        <w:left w:val="none" w:sz="0" w:space="0" w:color="auto"/>
        <w:bottom w:val="none" w:sz="0" w:space="0" w:color="auto"/>
        <w:right w:val="none" w:sz="0" w:space="0" w:color="auto"/>
      </w:divBdr>
      <w:divsChild>
        <w:div w:id="1810829273">
          <w:marLeft w:val="0"/>
          <w:marRight w:val="0"/>
          <w:marTop w:val="0"/>
          <w:marBottom w:val="180"/>
          <w:divBdr>
            <w:top w:val="none" w:sz="0" w:space="0" w:color="auto"/>
            <w:left w:val="none" w:sz="0" w:space="0" w:color="auto"/>
            <w:bottom w:val="none" w:sz="0" w:space="0" w:color="auto"/>
            <w:right w:val="none" w:sz="0" w:space="0" w:color="auto"/>
          </w:divBdr>
        </w:div>
        <w:div w:id="1904022046">
          <w:marLeft w:val="0"/>
          <w:marRight w:val="0"/>
          <w:marTop w:val="0"/>
          <w:marBottom w:val="1800"/>
          <w:divBdr>
            <w:top w:val="none" w:sz="0" w:space="0" w:color="auto"/>
            <w:left w:val="none" w:sz="0" w:space="0" w:color="auto"/>
            <w:bottom w:val="none" w:sz="0" w:space="0" w:color="auto"/>
            <w:right w:val="none" w:sz="0" w:space="0" w:color="auto"/>
          </w:divBdr>
        </w:div>
      </w:divsChild>
    </w:div>
    <w:div w:id="452401912">
      <w:bodyDiv w:val="1"/>
      <w:marLeft w:val="0"/>
      <w:marRight w:val="0"/>
      <w:marTop w:val="0"/>
      <w:marBottom w:val="0"/>
      <w:divBdr>
        <w:top w:val="none" w:sz="0" w:space="0" w:color="auto"/>
        <w:left w:val="none" w:sz="0" w:space="0" w:color="auto"/>
        <w:bottom w:val="none" w:sz="0" w:space="0" w:color="auto"/>
        <w:right w:val="none" w:sz="0" w:space="0" w:color="auto"/>
      </w:divBdr>
      <w:divsChild>
        <w:div w:id="195168009">
          <w:marLeft w:val="0"/>
          <w:marRight w:val="0"/>
          <w:marTop w:val="0"/>
          <w:marBottom w:val="180"/>
          <w:divBdr>
            <w:top w:val="none" w:sz="0" w:space="0" w:color="auto"/>
            <w:left w:val="none" w:sz="0" w:space="0" w:color="auto"/>
            <w:bottom w:val="none" w:sz="0" w:space="0" w:color="auto"/>
            <w:right w:val="none" w:sz="0" w:space="0" w:color="auto"/>
          </w:divBdr>
        </w:div>
        <w:div w:id="260190479">
          <w:marLeft w:val="0"/>
          <w:marRight w:val="0"/>
          <w:marTop w:val="0"/>
          <w:marBottom w:val="1800"/>
          <w:divBdr>
            <w:top w:val="none" w:sz="0" w:space="0" w:color="auto"/>
            <w:left w:val="none" w:sz="0" w:space="0" w:color="auto"/>
            <w:bottom w:val="none" w:sz="0" w:space="0" w:color="auto"/>
            <w:right w:val="none" w:sz="0" w:space="0" w:color="auto"/>
          </w:divBdr>
          <w:divsChild>
            <w:div w:id="1713840359">
              <w:marLeft w:val="375"/>
              <w:marRight w:val="375"/>
              <w:marTop w:val="0"/>
              <w:marBottom w:val="225"/>
              <w:divBdr>
                <w:top w:val="none" w:sz="0" w:space="0" w:color="auto"/>
                <w:left w:val="none" w:sz="0" w:space="0" w:color="auto"/>
                <w:bottom w:val="none" w:sz="0" w:space="0" w:color="auto"/>
                <w:right w:val="none" w:sz="0" w:space="0" w:color="auto"/>
              </w:divBdr>
              <w:divsChild>
                <w:div w:id="498547552">
                  <w:marLeft w:val="0"/>
                  <w:marRight w:val="0"/>
                  <w:marTop w:val="0"/>
                  <w:marBottom w:val="0"/>
                  <w:divBdr>
                    <w:top w:val="none" w:sz="0" w:space="0" w:color="auto"/>
                    <w:left w:val="none" w:sz="0" w:space="0" w:color="auto"/>
                    <w:bottom w:val="none" w:sz="0" w:space="0" w:color="auto"/>
                    <w:right w:val="none" w:sz="0" w:space="0" w:color="auto"/>
                  </w:divBdr>
                  <w:divsChild>
                    <w:div w:id="1306275624">
                      <w:marLeft w:val="0"/>
                      <w:marRight w:val="0"/>
                      <w:marTop w:val="0"/>
                      <w:marBottom w:val="0"/>
                      <w:divBdr>
                        <w:top w:val="single" w:sz="48" w:space="4" w:color="F2F2F2"/>
                        <w:left w:val="single" w:sz="48" w:space="11" w:color="F2F2F2"/>
                        <w:bottom w:val="single" w:sz="48" w:space="11" w:color="F2F2F2"/>
                        <w:right w:val="single" w:sz="48" w:space="11" w:color="F2F2F2"/>
                      </w:divBdr>
                      <w:divsChild>
                        <w:div w:id="2006781618">
                          <w:marLeft w:val="-375"/>
                          <w:marRight w:val="0"/>
                          <w:marTop w:val="0"/>
                          <w:marBottom w:val="150"/>
                          <w:divBdr>
                            <w:top w:val="none" w:sz="0" w:space="0" w:color="auto"/>
                            <w:left w:val="none" w:sz="0" w:space="0" w:color="auto"/>
                            <w:bottom w:val="none" w:sz="0" w:space="0" w:color="auto"/>
                            <w:right w:val="none" w:sz="0" w:space="0" w:color="auto"/>
                          </w:divBdr>
                        </w:div>
                        <w:div w:id="1332490419">
                          <w:marLeft w:val="0"/>
                          <w:marRight w:val="0"/>
                          <w:marTop w:val="0"/>
                          <w:marBottom w:val="225"/>
                          <w:divBdr>
                            <w:top w:val="none" w:sz="0" w:space="0" w:color="auto"/>
                            <w:left w:val="none" w:sz="0" w:space="0" w:color="auto"/>
                            <w:bottom w:val="none" w:sz="0" w:space="0" w:color="auto"/>
                            <w:right w:val="none" w:sz="0" w:space="0" w:color="auto"/>
                          </w:divBdr>
                          <w:divsChild>
                            <w:div w:id="1504467259">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3372254">
      <w:bodyDiv w:val="1"/>
      <w:marLeft w:val="0"/>
      <w:marRight w:val="0"/>
      <w:marTop w:val="0"/>
      <w:marBottom w:val="0"/>
      <w:divBdr>
        <w:top w:val="none" w:sz="0" w:space="0" w:color="auto"/>
        <w:left w:val="none" w:sz="0" w:space="0" w:color="auto"/>
        <w:bottom w:val="none" w:sz="0" w:space="0" w:color="auto"/>
        <w:right w:val="none" w:sz="0" w:space="0" w:color="auto"/>
      </w:divBdr>
      <w:divsChild>
        <w:div w:id="1100637095">
          <w:marLeft w:val="0"/>
          <w:marRight w:val="0"/>
          <w:marTop w:val="0"/>
          <w:marBottom w:val="180"/>
          <w:divBdr>
            <w:top w:val="none" w:sz="0" w:space="0" w:color="auto"/>
            <w:left w:val="none" w:sz="0" w:space="0" w:color="auto"/>
            <w:bottom w:val="none" w:sz="0" w:space="0" w:color="auto"/>
            <w:right w:val="none" w:sz="0" w:space="0" w:color="auto"/>
          </w:divBdr>
        </w:div>
        <w:div w:id="445740011">
          <w:marLeft w:val="0"/>
          <w:marRight w:val="0"/>
          <w:marTop w:val="0"/>
          <w:marBottom w:val="1800"/>
          <w:divBdr>
            <w:top w:val="none" w:sz="0" w:space="0" w:color="auto"/>
            <w:left w:val="none" w:sz="0" w:space="0" w:color="auto"/>
            <w:bottom w:val="none" w:sz="0" w:space="0" w:color="auto"/>
            <w:right w:val="none" w:sz="0" w:space="0" w:color="auto"/>
          </w:divBdr>
        </w:div>
      </w:divsChild>
    </w:div>
    <w:div w:id="628359390">
      <w:bodyDiv w:val="1"/>
      <w:marLeft w:val="0"/>
      <w:marRight w:val="0"/>
      <w:marTop w:val="0"/>
      <w:marBottom w:val="0"/>
      <w:divBdr>
        <w:top w:val="none" w:sz="0" w:space="0" w:color="auto"/>
        <w:left w:val="none" w:sz="0" w:space="0" w:color="auto"/>
        <w:bottom w:val="none" w:sz="0" w:space="0" w:color="auto"/>
        <w:right w:val="none" w:sz="0" w:space="0" w:color="auto"/>
      </w:divBdr>
      <w:divsChild>
        <w:div w:id="1937713306">
          <w:marLeft w:val="0"/>
          <w:marRight w:val="0"/>
          <w:marTop w:val="0"/>
          <w:marBottom w:val="180"/>
          <w:divBdr>
            <w:top w:val="none" w:sz="0" w:space="0" w:color="auto"/>
            <w:left w:val="none" w:sz="0" w:space="0" w:color="auto"/>
            <w:bottom w:val="none" w:sz="0" w:space="0" w:color="auto"/>
            <w:right w:val="none" w:sz="0" w:space="0" w:color="auto"/>
          </w:divBdr>
        </w:div>
        <w:div w:id="506212093">
          <w:marLeft w:val="0"/>
          <w:marRight w:val="0"/>
          <w:marTop w:val="0"/>
          <w:marBottom w:val="1800"/>
          <w:divBdr>
            <w:top w:val="none" w:sz="0" w:space="0" w:color="auto"/>
            <w:left w:val="none" w:sz="0" w:space="0" w:color="auto"/>
            <w:bottom w:val="none" w:sz="0" w:space="0" w:color="auto"/>
            <w:right w:val="none" w:sz="0" w:space="0" w:color="auto"/>
          </w:divBdr>
          <w:divsChild>
            <w:div w:id="1163279945">
              <w:marLeft w:val="300"/>
              <w:marRight w:val="1050"/>
              <w:marTop w:val="180"/>
              <w:marBottom w:val="180"/>
              <w:divBdr>
                <w:top w:val="none" w:sz="0" w:space="19" w:color="auto"/>
                <w:left w:val="single" w:sz="48" w:space="15" w:color="EDEDED"/>
                <w:bottom w:val="none" w:sz="0" w:space="19" w:color="auto"/>
                <w:right w:val="none" w:sz="0" w:space="15" w:color="auto"/>
              </w:divBdr>
              <w:divsChild>
                <w:div w:id="1483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056675">
      <w:bodyDiv w:val="1"/>
      <w:marLeft w:val="0"/>
      <w:marRight w:val="0"/>
      <w:marTop w:val="0"/>
      <w:marBottom w:val="0"/>
      <w:divBdr>
        <w:top w:val="none" w:sz="0" w:space="0" w:color="auto"/>
        <w:left w:val="none" w:sz="0" w:space="0" w:color="auto"/>
        <w:bottom w:val="none" w:sz="0" w:space="0" w:color="auto"/>
        <w:right w:val="none" w:sz="0" w:space="0" w:color="auto"/>
      </w:divBdr>
      <w:divsChild>
        <w:div w:id="110587772">
          <w:marLeft w:val="0"/>
          <w:marRight w:val="0"/>
          <w:marTop w:val="0"/>
          <w:marBottom w:val="180"/>
          <w:divBdr>
            <w:top w:val="none" w:sz="0" w:space="0" w:color="auto"/>
            <w:left w:val="none" w:sz="0" w:space="0" w:color="auto"/>
            <w:bottom w:val="none" w:sz="0" w:space="0" w:color="auto"/>
            <w:right w:val="none" w:sz="0" w:space="0" w:color="auto"/>
          </w:divBdr>
        </w:div>
        <w:div w:id="1433088228">
          <w:marLeft w:val="0"/>
          <w:marRight w:val="0"/>
          <w:marTop w:val="0"/>
          <w:marBottom w:val="1800"/>
          <w:divBdr>
            <w:top w:val="none" w:sz="0" w:space="0" w:color="auto"/>
            <w:left w:val="none" w:sz="0" w:space="0" w:color="auto"/>
            <w:bottom w:val="none" w:sz="0" w:space="0" w:color="auto"/>
            <w:right w:val="none" w:sz="0" w:space="0" w:color="auto"/>
          </w:divBdr>
          <w:divsChild>
            <w:div w:id="298725992">
              <w:marLeft w:val="375"/>
              <w:marRight w:val="375"/>
              <w:marTop w:val="0"/>
              <w:marBottom w:val="225"/>
              <w:divBdr>
                <w:top w:val="single" w:sz="48" w:space="4" w:color="F2F2F2"/>
                <w:left w:val="single" w:sz="48" w:space="11" w:color="F2F2F2"/>
                <w:bottom w:val="single" w:sz="48" w:space="11" w:color="F2F2F2"/>
                <w:right w:val="single" w:sz="48" w:space="11" w:color="F2F2F2"/>
              </w:divBdr>
              <w:divsChild>
                <w:div w:id="1032800813">
                  <w:marLeft w:val="-375"/>
                  <w:marRight w:val="0"/>
                  <w:marTop w:val="0"/>
                  <w:marBottom w:val="225"/>
                  <w:divBdr>
                    <w:top w:val="none" w:sz="0" w:space="0" w:color="auto"/>
                    <w:left w:val="none" w:sz="0" w:space="0" w:color="auto"/>
                    <w:bottom w:val="none" w:sz="0" w:space="0" w:color="auto"/>
                    <w:right w:val="none" w:sz="0" w:space="0" w:color="auto"/>
                  </w:divBdr>
                </w:div>
                <w:div w:id="1233928580">
                  <w:marLeft w:val="0"/>
                  <w:marRight w:val="0"/>
                  <w:marTop w:val="0"/>
                  <w:marBottom w:val="0"/>
                  <w:divBdr>
                    <w:top w:val="none" w:sz="0" w:space="0" w:color="auto"/>
                    <w:left w:val="none" w:sz="0" w:space="0" w:color="auto"/>
                    <w:bottom w:val="none" w:sz="0" w:space="0" w:color="auto"/>
                    <w:right w:val="none" w:sz="0" w:space="0" w:color="auto"/>
                  </w:divBdr>
                  <w:divsChild>
                    <w:div w:id="17451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904438">
      <w:bodyDiv w:val="1"/>
      <w:marLeft w:val="0"/>
      <w:marRight w:val="0"/>
      <w:marTop w:val="0"/>
      <w:marBottom w:val="0"/>
      <w:divBdr>
        <w:top w:val="none" w:sz="0" w:space="0" w:color="auto"/>
        <w:left w:val="none" w:sz="0" w:space="0" w:color="auto"/>
        <w:bottom w:val="none" w:sz="0" w:space="0" w:color="auto"/>
        <w:right w:val="none" w:sz="0" w:space="0" w:color="auto"/>
      </w:divBdr>
      <w:divsChild>
        <w:div w:id="55591937">
          <w:marLeft w:val="0"/>
          <w:marRight w:val="0"/>
          <w:marTop w:val="0"/>
          <w:marBottom w:val="180"/>
          <w:divBdr>
            <w:top w:val="none" w:sz="0" w:space="0" w:color="auto"/>
            <w:left w:val="none" w:sz="0" w:space="0" w:color="auto"/>
            <w:bottom w:val="none" w:sz="0" w:space="0" w:color="auto"/>
            <w:right w:val="none" w:sz="0" w:space="0" w:color="auto"/>
          </w:divBdr>
        </w:div>
        <w:div w:id="161312510">
          <w:marLeft w:val="0"/>
          <w:marRight w:val="0"/>
          <w:marTop w:val="0"/>
          <w:marBottom w:val="1800"/>
          <w:divBdr>
            <w:top w:val="none" w:sz="0" w:space="0" w:color="auto"/>
            <w:left w:val="none" w:sz="0" w:space="0" w:color="auto"/>
            <w:bottom w:val="none" w:sz="0" w:space="0" w:color="auto"/>
            <w:right w:val="none" w:sz="0" w:space="0" w:color="auto"/>
          </w:divBdr>
        </w:div>
      </w:divsChild>
    </w:div>
    <w:div w:id="885217440">
      <w:bodyDiv w:val="1"/>
      <w:marLeft w:val="0"/>
      <w:marRight w:val="0"/>
      <w:marTop w:val="0"/>
      <w:marBottom w:val="0"/>
      <w:divBdr>
        <w:top w:val="none" w:sz="0" w:space="0" w:color="auto"/>
        <w:left w:val="none" w:sz="0" w:space="0" w:color="auto"/>
        <w:bottom w:val="none" w:sz="0" w:space="0" w:color="auto"/>
        <w:right w:val="none" w:sz="0" w:space="0" w:color="auto"/>
      </w:divBdr>
      <w:divsChild>
        <w:div w:id="626668491">
          <w:marLeft w:val="0"/>
          <w:marRight w:val="0"/>
          <w:marTop w:val="0"/>
          <w:marBottom w:val="180"/>
          <w:divBdr>
            <w:top w:val="none" w:sz="0" w:space="0" w:color="auto"/>
            <w:left w:val="none" w:sz="0" w:space="0" w:color="auto"/>
            <w:bottom w:val="none" w:sz="0" w:space="0" w:color="auto"/>
            <w:right w:val="none" w:sz="0" w:space="0" w:color="auto"/>
          </w:divBdr>
        </w:div>
        <w:div w:id="340090991">
          <w:marLeft w:val="0"/>
          <w:marRight w:val="0"/>
          <w:marTop w:val="0"/>
          <w:marBottom w:val="1800"/>
          <w:divBdr>
            <w:top w:val="none" w:sz="0" w:space="0" w:color="auto"/>
            <w:left w:val="none" w:sz="0" w:space="0" w:color="auto"/>
            <w:bottom w:val="none" w:sz="0" w:space="0" w:color="auto"/>
            <w:right w:val="none" w:sz="0" w:space="0" w:color="auto"/>
          </w:divBdr>
        </w:div>
      </w:divsChild>
    </w:div>
    <w:div w:id="888495131">
      <w:bodyDiv w:val="1"/>
      <w:marLeft w:val="0"/>
      <w:marRight w:val="0"/>
      <w:marTop w:val="0"/>
      <w:marBottom w:val="0"/>
      <w:divBdr>
        <w:top w:val="none" w:sz="0" w:space="0" w:color="auto"/>
        <w:left w:val="none" w:sz="0" w:space="0" w:color="auto"/>
        <w:bottom w:val="none" w:sz="0" w:space="0" w:color="auto"/>
        <w:right w:val="none" w:sz="0" w:space="0" w:color="auto"/>
      </w:divBdr>
      <w:divsChild>
        <w:div w:id="1517236005">
          <w:marLeft w:val="0"/>
          <w:marRight w:val="0"/>
          <w:marTop w:val="0"/>
          <w:marBottom w:val="180"/>
          <w:divBdr>
            <w:top w:val="none" w:sz="0" w:space="0" w:color="auto"/>
            <w:left w:val="none" w:sz="0" w:space="0" w:color="auto"/>
            <w:bottom w:val="none" w:sz="0" w:space="0" w:color="auto"/>
            <w:right w:val="none" w:sz="0" w:space="0" w:color="auto"/>
          </w:divBdr>
        </w:div>
        <w:div w:id="422411578">
          <w:marLeft w:val="0"/>
          <w:marRight w:val="0"/>
          <w:marTop w:val="0"/>
          <w:marBottom w:val="1800"/>
          <w:divBdr>
            <w:top w:val="none" w:sz="0" w:space="0" w:color="auto"/>
            <w:left w:val="none" w:sz="0" w:space="0" w:color="auto"/>
            <w:bottom w:val="none" w:sz="0" w:space="0" w:color="auto"/>
            <w:right w:val="none" w:sz="0" w:space="0" w:color="auto"/>
          </w:divBdr>
          <w:divsChild>
            <w:div w:id="1004405691">
              <w:marLeft w:val="2250"/>
              <w:marRight w:val="2250"/>
              <w:marTop w:val="75"/>
              <w:marBottom w:val="210"/>
              <w:divBdr>
                <w:top w:val="none" w:sz="0" w:space="0" w:color="auto"/>
                <w:left w:val="none" w:sz="0" w:space="0" w:color="auto"/>
                <w:bottom w:val="none" w:sz="0" w:space="0" w:color="auto"/>
                <w:right w:val="none" w:sz="0" w:space="0" w:color="auto"/>
              </w:divBdr>
            </w:div>
          </w:divsChild>
        </w:div>
      </w:divsChild>
    </w:div>
    <w:div w:id="1029447790">
      <w:bodyDiv w:val="1"/>
      <w:marLeft w:val="0"/>
      <w:marRight w:val="0"/>
      <w:marTop w:val="0"/>
      <w:marBottom w:val="0"/>
      <w:divBdr>
        <w:top w:val="none" w:sz="0" w:space="0" w:color="auto"/>
        <w:left w:val="none" w:sz="0" w:space="0" w:color="auto"/>
        <w:bottom w:val="none" w:sz="0" w:space="0" w:color="auto"/>
        <w:right w:val="none" w:sz="0" w:space="0" w:color="auto"/>
      </w:divBdr>
      <w:divsChild>
        <w:div w:id="358823880">
          <w:marLeft w:val="0"/>
          <w:marRight w:val="0"/>
          <w:marTop w:val="0"/>
          <w:marBottom w:val="180"/>
          <w:divBdr>
            <w:top w:val="none" w:sz="0" w:space="0" w:color="auto"/>
            <w:left w:val="none" w:sz="0" w:space="0" w:color="auto"/>
            <w:bottom w:val="none" w:sz="0" w:space="0" w:color="auto"/>
            <w:right w:val="none" w:sz="0" w:space="0" w:color="auto"/>
          </w:divBdr>
        </w:div>
        <w:div w:id="451560711">
          <w:marLeft w:val="0"/>
          <w:marRight w:val="0"/>
          <w:marTop w:val="0"/>
          <w:marBottom w:val="1800"/>
          <w:divBdr>
            <w:top w:val="none" w:sz="0" w:space="0" w:color="auto"/>
            <w:left w:val="none" w:sz="0" w:space="0" w:color="auto"/>
            <w:bottom w:val="none" w:sz="0" w:space="0" w:color="auto"/>
            <w:right w:val="none" w:sz="0" w:space="0" w:color="auto"/>
          </w:divBdr>
        </w:div>
      </w:divsChild>
    </w:div>
    <w:div w:id="1061365270">
      <w:bodyDiv w:val="1"/>
      <w:marLeft w:val="0"/>
      <w:marRight w:val="0"/>
      <w:marTop w:val="0"/>
      <w:marBottom w:val="0"/>
      <w:divBdr>
        <w:top w:val="none" w:sz="0" w:space="0" w:color="auto"/>
        <w:left w:val="none" w:sz="0" w:space="0" w:color="auto"/>
        <w:bottom w:val="none" w:sz="0" w:space="0" w:color="auto"/>
        <w:right w:val="none" w:sz="0" w:space="0" w:color="auto"/>
      </w:divBdr>
      <w:divsChild>
        <w:div w:id="958955277">
          <w:marLeft w:val="0"/>
          <w:marRight w:val="0"/>
          <w:marTop w:val="0"/>
          <w:marBottom w:val="180"/>
          <w:divBdr>
            <w:top w:val="none" w:sz="0" w:space="0" w:color="auto"/>
            <w:left w:val="none" w:sz="0" w:space="0" w:color="auto"/>
            <w:bottom w:val="none" w:sz="0" w:space="0" w:color="auto"/>
            <w:right w:val="none" w:sz="0" w:space="0" w:color="auto"/>
          </w:divBdr>
        </w:div>
        <w:div w:id="1354650872">
          <w:marLeft w:val="0"/>
          <w:marRight w:val="0"/>
          <w:marTop w:val="0"/>
          <w:marBottom w:val="1800"/>
          <w:divBdr>
            <w:top w:val="none" w:sz="0" w:space="0" w:color="auto"/>
            <w:left w:val="none" w:sz="0" w:space="0" w:color="auto"/>
            <w:bottom w:val="none" w:sz="0" w:space="0" w:color="auto"/>
            <w:right w:val="none" w:sz="0" w:space="0" w:color="auto"/>
          </w:divBdr>
        </w:div>
      </w:divsChild>
    </w:div>
    <w:div w:id="1129737470">
      <w:bodyDiv w:val="1"/>
      <w:marLeft w:val="0"/>
      <w:marRight w:val="0"/>
      <w:marTop w:val="0"/>
      <w:marBottom w:val="0"/>
      <w:divBdr>
        <w:top w:val="none" w:sz="0" w:space="0" w:color="auto"/>
        <w:left w:val="none" w:sz="0" w:space="0" w:color="auto"/>
        <w:bottom w:val="none" w:sz="0" w:space="0" w:color="auto"/>
        <w:right w:val="none" w:sz="0" w:space="0" w:color="auto"/>
      </w:divBdr>
      <w:divsChild>
        <w:div w:id="2061593669">
          <w:marLeft w:val="0"/>
          <w:marRight w:val="0"/>
          <w:marTop w:val="0"/>
          <w:marBottom w:val="180"/>
          <w:divBdr>
            <w:top w:val="none" w:sz="0" w:space="0" w:color="auto"/>
            <w:left w:val="none" w:sz="0" w:space="0" w:color="auto"/>
            <w:bottom w:val="none" w:sz="0" w:space="0" w:color="auto"/>
            <w:right w:val="none" w:sz="0" w:space="0" w:color="auto"/>
          </w:divBdr>
        </w:div>
        <w:div w:id="59257444">
          <w:marLeft w:val="0"/>
          <w:marRight w:val="0"/>
          <w:marTop w:val="0"/>
          <w:marBottom w:val="1800"/>
          <w:divBdr>
            <w:top w:val="none" w:sz="0" w:space="0" w:color="auto"/>
            <w:left w:val="none" w:sz="0" w:space="0" w:color="auto"/>
            <w:bottom w:val="none" w:sz="0" w:space="0" w:color="auto"/>
            <w:right w:val="none" w:sz="0" w:space="0" w:color="auto"/>
          </w:divBdr>
        </w:div>
      </w:divsChild>
    </w:div>
    <w:div w:id="1291202234">
      <w:bodyDiv w:val="1"/>
      <w:marLeft w:val="0"/>
      <w:marRight w:val="0"/>
      <w:marTop w:val="0"/>
      <w:marBottom w:val="0"/>
      <w:divBdr>
        <w:top w:val="none" w:sz="0" w:space="0" w:color="auto"/>
        <w:left w:val="none" w:sz="0" w:space="0" w:color="auto"/>
        <w:bottom w:val="none" w:sz="0" w:space="0" w:color="auto"/>
        <w:right w:val="none" w:sz="0" w:space="0" w:color="auto"/>
      </w:divBdr>
      <w:divsChild>
        <w:div w:id="129400444">
          <w:marLeft w:val="0"/>
          <w:marRight w:val="0"/>
          <w:marTop w:val="0"/>
          <w:marBottom w:val="180"/>
          <w:divBdr>
            <w:top w:val="none" w:sz="0" w:space="0" w:color="auto"/>
            <w:left w:val="none" w:sz="0" w:space="0" w:color="auto"/>
            <w:bottom w:val="none" w:sz="0" w:space="0" w:color="auto"/>
            <w:right w:val="none" w:sz="0" w:space="0" w:color="auto"/>
          </w:divBdr>
        </w:div>
        <w:div w:id="112791071">
          <w:marLeft w:val="0"/>
          <w:marRight w:val="0"/>
          <w:marTop w:val="0"/>
          <w:marBottom w:val="1800"/>
          <w:divBdr>
            <w:top w:val="none" w:sz="0" w:space="0" w:color="auto"/>
            <w:left w:val="none" w:sz="0" w:space="0" w:color="auto"/>
            <w:bottom w:val="none" w:sz="0" w:space="0" w:color="auto"/>
            <w:right w:val="none" w:sz="0" w:space="0" w:color="auto"/>
          </w:divBdr>
          <w:divsChild>
            <w:div w:id="181169841">
              <w:marLeft w:val="975"/>
              <w:marRight w:val="1500"/>
              <w:marTop w:val="0"/>
              <w:marBottom w:val="225"/>
              <w:divBdr>
                <w:top w:val="none" w:sz="0" w:space="0" w:color="auto"/>
                <w:left w:val="none" w:sz="0" w:space="0" w:color="auto"/>
                <w:bottom w:val="none" w:sz="0" w:space="0" w:color="auto"/>
                <w:right w:val="none" w:sz="0" w:space="0" w:color="auto"/>
              </w:divBdr>
              <w:divsChild>
                <w:div w:id="1434400625">
                  <w:marLeft w:val="375"/>
                  <w:marRight w:val="375"/>
                  <w:marTop w:val="0"/>
                  <w:marBottom w:val="225"/>
                  <w:divBdr>
                    <w:top w:val="single" w:sz="48" w:space="4" w:color="F2F2F2"/>
                    <w:left w:val="single" w:sz="48" w:space="11" w:color="F2F2F2"/>
                    <w:bottom w:val="single" w:sz="48" w:space="11" w:color="F2F2F2"/>
                    <w:right w:val="single" w:sz="48" w:space="11" w:color="F2F2F2"/>
                  </w:divBdr>
                  <w:divsChild>
                    <w:div w:id="282885751">
                      <w:marLeft w:val="-375"/>
                      <w:marRight w:val="0"/>
                      <w:marTop w:val="0"/>
                      <w:marBottom w:val="225"/>
                      <w:divBdr>
                        <w:top w:val="none" w:sz="0" w:space="0" w:color="auto"/>
                        <w:left w:val="none" w:sz="0" w:space="0" w:color="auto"/>
                        <w:bottom w:val="none" w:sz="0" w:space="0" w:color="auto"/>
                        <w:right w:val="none" w:sz="0" w:space="0" w:color="auto"/>
                      </w:divBdr>
                    </w:div>
                    <w:div w:id="1366054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758569">
              <w:marLeft w:val="975"/>
              <w:marRight w:val="1500"/>
              <w:marTop w:val="0"/>
              <w:marBottom w:val="225"/>
              <w:divBdr>
                <w:top w:val="none" w:sz="0" w:space="0" w:color="auto"/>
                <w:left w:val="none" w:sz="0" w:space="0" w:color="auto"/>
                <w:bottom w:val="none" w:sz="0" w:space="0" w:color="auto"/>
                <w:right w:val="none" w:sz="0" w:space="0" w:color="auto"/>
              </w:divBdr>
              <w:divsChild>
                <w:div w:id="490566318">
                  <w:marLeft w:val="375"/>
                  <w:marRight w:val="375"/>
                  <w:marTop w:val="375"/>
                  <w:marBottom w:val="375"/>
                  <w:divBdr>
                    <w:top w:val="none" w:sz="0" w:space="19" w:color="auto"/>
                    <w:left w:val="single" w:sz="48" w:space="15" w:color="EDEDED"/>
                    <w:bottom w:val="none" w:sz="0" w:space="19" w:color="auto"/>
                    <w:right w:val="none" w:sz="0" w:space="15" w:color="auto"/>
                  </w:divBdr>
                  <w:divsChild>
                    <w:div w:id="757360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2321362">
      <w:bodyDiv w:val="1"/>
      <w:marLeft w:val="0"/>
      <w:marRight w:val="0"/>
      <w:marTop w:val="0"/>
      <w:marBottom w:val="0"/>
      <w:divBdr>
        <w:top w:val="none" w:sz="0" w:space="0" w:color="auto"/>
        <w:left w:val="none" w:sz="0" w:space="0" w:color="auto"/>
        <w:bottom w:val="none" w:sz="0" w:space="0" w:color="auto"/>
        <w:right w:val="none" w:sz="0" w:space="0" w:color="auto"/>
      </w:divBdr>
      <w:divsChild>
        <w:div w:id="220287613">
          <w:marLeft w:val="0"/>
          <w:marRight w:val="0"/>
          <w:marTop w:val="0"/>
          <w:marBottom w:val="180"/>
          <w:divBdr>
            <w:top w:val="none" w:sz="0" w:space="0" w:color="auto"/>
            <w:left w:val="none" w:sz="0" w:space="0" w:color="auto"/>
            <w:bottom w:val="none" w:sz="0" w:space="0" w:color="auto"/>
            <w:right w:val="none" w:sz="0" w:space="0" w:color="auto"/>
          </w:divBdr>
        </w:div>
        <w:div w:id="359824408">
          <w:marLeft w:val="0"/>
          <w:marRight w:val="0"/>
          <w:marTop w:val="0"/>
          <w:marBottom w:val="1800"/>
          <w:divBdr>
            <w:top w:val="none" w:sz="0" w:space="0" w:color="auto"/>
            <w:left w:val="none" w:sz="0" w:space="0" w:color="auto"/>
            <w:bottom w:val="none" w:sz="0" w:space="0" w:color="auto"/>
            <w:right w:val="none" w:sz="0" w:space="0" w:color="auto"/>
          </w:divBdr>
        </w:div>
      </w:divsChild>
    </w:div>
    <w:div w:id="1426732084">
      <w:bodyDiv w:val="1"/>
      <w:marLeft w:val="0"/>
      <w:marRight w:val="0"/>
      <w:marTop w:val="0"/>
      <w:marBottom w:val="0"/>
      <w:divBdr>
        <w:top w:val="none" w:sz="0" w:space="0" w:color="auto"/>
        <w:left w:val="none" w:sz="0" w:space="0" w:color="auto"/>
        <w:bottom w:val="none" w:sz="0" w:space="0" w:color="auto"/>
        <w:right w:val="none" w:sz="0" w:space="0" w:color="auto"/>
      </w:divBdr>
      <w:divsChild>
        <w:div w:id="1738361669">
          <w:marLeft w:val="0"/>
          <w:marRight w:val="0"/>
          <w:marTop w:val="0"/>
          <w:marBottom w:val="180"/>
          <w:divBdr>
            <w:top w:val="none" w:sz="0" w:space="0" w:color="auto"/>
            <w:left w:val="none" w:sz="0" w:space="0" w:color="auto"/>
            <w:bottom w:val="none" w:sz="0" w:space="0" w:color="auto"/>
            <w:right w:val="none" w:sz="0" w:space="0" w:color="auto"/>
          </w:divBdr>
        </w:div>
        <w:div w:id="1123688843">
          <w:marLeft w:val="0"/>
          <w:marRight w:val="0"/>
          <w:marTop w:val="0"/>
          <w:marBottom w:val="1800"/>
          <w:divBdr>
            <w:top w:val="none" w:sz="0" w:space="0" w:color="auto"/>
            <w:left w:val="none" w:sz="0" w:space="0" w:color="auto"/>
            <w:bottom w:val="none" w:sz="0" w:space="0" w:color="auto"/>
            <w:right w:val="none" w:sz="0" w:space="0" w:color="auto"/>
          </w:divBdr>
        </w:div>
      </w:divsChild>
    </w:div>
    <w:div w:id="1689722707">
      <w:bodyDiv w:val="1"/>
      <w:marLeft w:val="0"/>
      <w:marRight w:val="0"/>
      <w:marTop w:val="0"/>
      <w:marBottom w:val="0"/>
      <w:divBdr>
        <w:top w:val="none" w:sz="0" w:space="0" w:color="auto"/>
        <w:left w:val="none" w:sz="0" w:space="0" w:color="auto"/>
        <w:bottom w:val="none" w:sz="0" w:space="0" w:color="auto"/>
        <w:right w:val="none" w:sz="0" w:space="0" w:color="auto"/>
      </w:divBdr>
      <w:divsChild>
        <w:div w:id="100999929">
          <w:marLeft w:val="0"/>
          <w:marRight w:val="0"/>
          <w:marTop w:val="0"/>
          <w:marBottom w:val="180"/>
          <w:divBdr>
            <w:top w:val="none" w:sz="0" w:space="0" w:color="auto"/>
            <w:left w:val="none" w:sz="0" w:space="0" w:color="auto"/>
            <w:bottom w:val="none" w:sz="0" w:space="0" w:color="auto"/>
            <w:right w:val="none" w:sz="0" w:space="0" w:color="auto"/>
          </w:divBdr>
        </w:div>
        <w:div w:id="252205115">
          <w:marLeft w:val="0"/>
          <w:marRight w:val="0"/>
          <w:marTop w:val="0"/>
          <w:marBottom w:val="1800"/>
          <w:divBdr>
            <w:top w:val="none" w:sz="0" w:space="0" w:color="auto"/>
            <w:left w:val="none" w:sz="0" w:space="0" w:color="auto"/>
            <w:bottom w:val="none" w:sz="0" w:space="0" w:color="auto"/>
            <w:right w:val="none" w:sz="0" w:space="0" w:color="auto"/>
          </w:divBdr>
        </w:div>
      </w:divsChild>
    </w:div>
    <w:div w:id="1947810323">
      <w:bodyDiv w:val="1"/>
      <w:marLeft w:val="0"/>
      <w:marRight w:val="0"/>
      <w:marTop w:val="0"/>
      <w:marBottom w:val="0"/>
      <w:divBdr>
        <w:top w:val="none" w:sz="0" w:space="0" w:color="auto"/>
        <w:left w:val="none" w:sz="0" w:space="0" w:color="auto"/>
        <w:bottom w:val="none" w:sz="0" w:space="0" w:color="auto"/>
        <w:right w:val="none" w:sz="0" w:space="0" w:color="auto"/>
      </w:divBdr>
    </w:div>
    <w:div w:id="2009478998">
      <w:bodyDiv w:val="1"/>
      <w:marLeft w:val="0"/>
      <w:marRight w:val="0"/>
      <w:marTop w:val="0"/>
      <w:marBottom w:val="0"/>
      <w:divBdr>
        <w:top w:val="none" w:sz="0" w:space="0" w:color="auto"/>
        <w:left w:val="none" w:sz="0" w:space="0" w:color="auto"/>
        <w:bottom w:val="none" w:sz="0" w:space="0" w:color="auto"/>
        <w:right w:val="none" w:sz="0" w:space="0" w:color="auto"/>
      </w:divBdr>
      <w:divsChild>
        <w:div w:id="414787632">
          <w:marLeft w:val="0"/>
          <w:marRight w:val="0"/>
          <w:marTop w:val="0"/>
          <w:marBottom w:val="180"/>
          <w:divBdr>
            <w:top w:val="none" w:sz="0" w:space="0" w:color="auto"/>
            <w:left w:val="none" w:sz="0" w:space="0" w:color="auto"/>
            <w:bottom w:val="none" w:sz="0" w:space="0" w:color="auto"/>
            <w:right w:val="none" w:sz="0" w:space="0" w:color="auto"/>
          </w:divBdr>
        </w:div>
        <w:div w:id="1957102875">
          <w:marLeft w:val="0"/>
          <w:marRight w:val="0"/>
          <w:marTop w:val="0"/>
          <w:marBottom w:val="1800"/>
          <w:divBdr>
            <w:top w:val="none" w:sz="0" w:space="0" w:color="auto"/>
            <w:left w:val="none" w:sz="0" w:space="0" w:color="auto"/>
            <w:bottom w:val="none" w:sz="0" w:space="0" w:color="auto"/>
            <w:right w:val="none" w:sz="0" w:space="0" w:color="auto"/>
          </w:divBdr>
          <w:divsChild>
            <w:div w:id="507794715">
              <w:marLeft w:val="975"/>
              <w:marRight w:val="1500"/>
              <w:marTop w:val="0"/>
              <w:marBottom w:val="225"/>
              <w:divBdr>
                <w:top w:val="none" w:sz="0" w:space="0" w:color="auto"/>
                <w:left w:val="none" w:sz="0" w:space="0" w:color="auto"/>
                <w:bottom w:val="none" w:sz="0" w:space="0" w:color="auto"/>
                <w:right w:val="none" w:sz="0" w:space="0" w:color="auto"/>
              </w:divBdr>
              <w:divsChild>
                <w:div w:id="1651708830">
                  <w:marLeft w:val="375"/>
                  <w:marRight w:val="375"/>
                  <w:marTop w:val="0"/>
                  <w:marBottom w:val="225"/>
                  <w:divBdr>
                    <w:top w:val="single" w:sz="48" w:space="4" w:color="F2F2F2"/>
                    <w:left w:val="single" w:sz="48" w:space="11" w:color="F2F2F2"/>
                    <w:bottom w:val="single" w:sz="48" w:space="11" w:color="F2F2F2"/>
                    <w:right w:val="single" w:sz="48" w:space="11" w:color="F2F2F2"/>
                  </w:divBdr>
                  <w:divsChild>
                    <w:div w:id="1416897197">
                      <w:marLeft w:val="-375"/>
                      <w:marRight w:val="0"/>
                      <w:marTop w:val="0"/>
                      <w:marBottom w:val="225"/>
                      <w:divBdr>
                        <w:top w:val="none" w:sz="0" w:space="0" w:color="auto"/>
                        <w:left w:val="none" w:sz="0" w:space="0" w:color="auto"/>
                        <w:bottom w:val="none" w:sz="0" w:space="0" w:color="auto"/>
                        <w:right w:val="none" w:sz="0" w:space="0" w:color="auto"/>
                      </w:divBdr>
                    </w:div>
                    <w:div w:id="157184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86941">
              <w:marLeft w:val="975"/>
              <w:marRight w:val="1500"/>
              <w:marTop w:val="0"/>
              <w:marBottom w:val="225"/>
              <w:divBdr>
                <w:top w:val="none" w:sz="0" w:space="0" w:color="auto"/>
                <w:left w:val="none" w:sz="0" w:space="0" w:color="auto"/>
                <w:bottom w:val="none" w:sz="0" w:space="0" w:color="auto"/>
                <w:right w:val="none" w:sz="0" w:space="0" w:color="auto"/>
              </w:divBdr>
              <w:divsChild>
                <w:div w:id="1717192932">
                  <w:marLeft w:val="375"/>
                  <w:marRight w:val="375"/>
                  <w:marTop w:val="375"/>
                  <w:marBottom w:val="375"/>
                  <w:divBdr>
                    <w:top w:val="none" w:sz="0" w:space="19" w:color="auto"/>
                    <w:left w:val="single" w:sz="48" w:space="15" w:color="EDEDED"/>
                    <w:bottom w:val="none" w:sz="0" w:space="19" w:color="auto"/>
                    <w:right w:val="none" w:sz="0" w:space="15" w:color="auto"/>
                  </w:divBdr>
                  <w:divsChild>
                    <w:div w:id="486283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168801">
      <w:bodyDiv w:val="1"/>
      <w:marLeft w:val="0"/>
      <w:marRight w:val="0"/>
      <w:marTop w:val="0"/>
      <w:marBottom w:val="0"/>
      <w:divBdr>
        <w:top w:val="none" w:sz="0" w:space="0" w:color="auto"/>
        <w:left w:val="none" w:sz="0" w:space="0" w:color="auto"/>
        <w:bottom w:val="none" w:sz="0" w:space="0" w:color="auto"/>
        <w:right w:val="none" w:sz="0" w:space="0" w:color="auto"/>
      </w:divBdr>
      <w:divsChild>
        <w:div w:id="781148661">
          <w:marLeft w:val="0"/>
          <w:marRight w:val="0"/>
          <w:marTop w:val="0"/>
          <w:marBottom w:val="180"/>
          <w:divBdr>
            <w:top w:val="none" w:sz="0" w:space="0" w:color="auto"/>
            <w:left w:val="none" w:sz="0" w:space="0" w:color="auto"/>
            <w:bottom w:val="none" w:sz="0" w:space="0" w:color="auto"/>
            <w:right w:val="none" w:sz="0" w:space="0" w:color="auto"/>
          </w:divBdr>
        </w:div>
        <w:div w:id="231279253">
          <w:marLeft w:val="0"/>
          <w:marRight w:val="0"/>
          <w:marTop w:val="0"/>
          <w:marBottom w:val="180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Relationships xmlns="http://schemas.openxmlformats.org/package/2006/relationships">
  <Relationship Id="rId1" Type="http://schemas.openxmlformats.org/officeDocument/2006/relationships/numbering" Target="numbering.xml"/>
  <Relationship Id="rId10" Type="http://schemas.openxmlformats.org/officeDocument/2006/relationships/hyperlink" TargetMode="External" Target="javascript:///"/>
  <Relationship Id="rId11" Type="http://schemas.openxmlformats.org/officeDocument/2006/relationships/hyperlink" TargetMode="External" Target="javascript:///"/>
  <Relationship Id="rId12" Type="http://schemas.openxmlformats.org/officeDocument/2006/relationships/hyperlink" TargetMode="External" Target="javascript:///"/>
  <Relationship Id="rId13" Type="http://schemas.openxmlformats.org/officeDocument/2006/relationships/hyperlink" TargetMode="External" Target="javascript:///"/>
  <Relationship Id="rId14" Type="http://schemas.openxmlformats.org/officeDocument/2006/relationships/hyperlink" TargetMode="External" Target="javascript:///"/>
  <Relationship Id="rId15" Type="http://schemas.openxmlformats.org/officeDocument/2006/relationships/hyperlink" TargetMode="External" Target="javascript:///"/>
  <Relationship Id="rId16" Type="http://schemas.openxmlformats.org/officeDocument/2006/relationships/hyperlink" TargetMode="External" Target="javascript:///"/>
  <Relationship Id="rId17" Type="http://schemas.openxmlformats.org/officeDocument/2006/relationships/hyperlink" TargetMode="External" Target="javascript:///"/>
  <Relationship Id="rId18" Type="http://schemas.openxmlformats.org/officeDocument/2006/relationships/hyperlink" TargetMode="External" Target="javascript:///"/>
  <Relationship Id="rId19" Type="http://schemas.openxmlformats.org/officeDocument/2006/relationships/hyperlink" TargetMode="External" Target="javascript:///"/>
  <Relationship Id="rId2" Type="http://schemas.openxmlformats.org/officeDocument/2006/relationships/styles" Target="styles.xml"/>
  <Relationship Id="rId20" Type="http://schemas.openxmlformats.org/officeDocument/2006/relationships/hyperlink" TargetMode="External" Target="javascript:///"/>
  <Relationship Id="rId21" Type="http://schemas.openxmlformats.org/officeDocument/2006/relationships/hyperlink" TargetMode="External" Target="javascript:///"/>
  <Relationship Id="rId22" Type="http://schemas.openxmlformats.org/officeDocument/2006/relationships/hyperlink" TargetMode="External" Target="javascript:///"/>
  <Relationship Id="rId23" Type="http://schemas.openxmlformats.org/officeDocument/2006/relationships/hyperlink" TargetMode="External" Target="javascript:///"/>
  <Relationship Id="rId24" Type="http://schemas.openxmlformats.org/officeDocument/2006/relationships/hyperlink" TargetMode="External" Target="javascript:///"/>
  <Relationship Id="rId25" Type="http://schemas.openxmlformats.org/officeDocument/2006/relationships/hyperlink" TargetMode="External" Target="javascript:///"/>
  <Relationship Id="rId26" Type="http://schemas.openxmlformats.org/officeDocument/2006/relationships/hyperlink" TargetMode="External" Target="javascript:///"/>
  <Relationship Id="rId27" Type="http://schemas.openxmlformats.org/officeDocument/2006/relationships/hyperlink" TargetMode="External" Target="javascript:///"/>
  <Relationship Id="rId28" Type="http://schemas.openxmlformats.org/officeDocument/2006/relationships/hyperlink" TargetMode="External" Target="javascript:///"/>
  <Relationship Id="rId29" Type="http://schemas.openxmlformats.org/officeDocument/2006/relationships/hyperlink" TargetMode="External" Target="javascript:///"/>
  <Relationship Id="rId3" Type="http://schemas.microsoft.com/office/2007/relationships/stylesWithEffects" Target="stylesWithEffects.xml"/>
  <Relationship Id="rId30" Type="http://schemas.openxmlformats.org/officeDocument/2006/relationships/hyperlink" TargetMode="External" Target="javascript:///"/>
  <Relationship Id="rId31" Type="http://schemas.openxmlformats.org/officeDocument/2006/relationships/hyperlink" TargetMode="External" Target="javascript:///"/>
  <Relationship Id="rId32" Type="http://schemas.openxmlformats.org/officeDocument/2006/relationships/hyperlink" TargetMode="External" Target="javascript:///"/>
  <Relationship Id="rId33" Type="http://schemas.openxmlformats.org/officeDocument/2006/relationships/hyperlink" TargetMode="External" Target="javascript:///"/>
  <Relationship Id="rId34" Type="http://schemas.openxmlformats.org/officeDocument/2006/relationships/hyperlink" TargetMode="External" Target="javascript:///"/>
  <Relationship Id="rId35" Type="http://schemas.openxmlformats.org/officeDocument/2006/relationships/hyperlink" TargetMode="External" Target="javascript:///"/>
  <Relationship Id="rId36" Type="http://schemas.openxmlformats.org/officeDocument/2006/relationships/hyperlink" TargetMode="External" Target="javascript:///"/>
  <Relationship Id="rId37" Type="http://schemas.openxmlformats.org/officeDocument/2006/relationships/hyperlink" TargetMode="External" Target="javascript:///"/>
  <Relationship Id="rId38" Type="http://schemas.openxmlformats.org/officeDocument/2006/relationships/hyperlink" TargetMode="External" Target="javascript:///"/>
  <Relationship Id="rId39" Type="http://schemas.openxmlformats.org/officeDocument/2006/relationships/hyperlink" TargetMode="External" Target="javascript:///"/>
  <Relationship Id="rId4" Type="http://schemas.openxmlformats.org/officeDocument/2006/relationships/settings" Target="settings.xml"/>
  <Relationship Id="rId40" Type="http://schemas.openxmlformats.org/officeDocument/2006/relationships/hyperlink" TargetMode="External" Target="javascript:///"/>
  <Relationship Id="rId41" Type="http://schemas.openxmlformats.org/officeDocument/2006/relationships/hyperlink" TargetMode="External" Target="javascript:///"/>
  <Relationship Id="rId42" Type="http://schemas.openxmlformats.org/officeDocument/2006/relationships/hyperlink" TargetMode="External" Target="javascript:///"/>
  <Relationship Id="rId43" Type="http://schemas.openxmlformats.org/officeDocument/2006/relationships/hyperlink" TargetMode="External" Target="javascript:///"/>
  <Relationship Id="rId44" Type="http://schemas.openxmlformats.org/officeDocument/2006/relationships/hyperlink" TargetMode="External" Target="javascript:///"/>
  <Relationship Id="rId45" Type="http://schemas.openxmlformats.org/officeDocument/2006/relationships/hyperlink" TargetMode="External" Target="javascript:///"/>
  <Relationship Id="rId46" Type="http://schemas.openxmlformats.org/officeDocument/2006/relationships/hyperlink" TargetMode="External" Target="javascript:///"/>
  <Relationship Id="rId47" Type="http://schemas.openxmlformats.org/officeDocument/2006/relationships/hyperlink" TargetMode="External" Target="javascript:///"/>
  <Relationship Id="rId48" Type="http://schemas.openxmlformats.org/officeDocument/2006/relationships/hyperlink" TargetMode="External" Target="javascript:///"/>
  <Relationship Id="rId49" Type="http://schemas.openxmlformats.org/officeDocument/2006/relationships/fontTable" Target="fontTable.xml"/>
  <Relationship Id="rId5" Type="http://schemas.openxmlformats.org/officeDocument/2006/relationships/webSettings" Target="webSettings.xml"/>
  <Relationship Id="rId50" Type="http://schemas.openxmlformats.org/officeDocument/2006/relationships/theme" Target="theme/theme1.xml"/>
  <Relationship Id="rId6" Type="http://schemas.openxmlformats.org/officeDocument/2006/relationships/hyperlink" TargetMode="External" Target="javascript:///"/>
  <Relationship Id="rId7" Type="http://schemas.openxmlformats.org/officeDocument/2006/relationships/hyperlink" TargetMode="External" Target="javascript:///"/>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30</Pages>
  <Words>8666</Words>
  <Characters>49400</Characters>
  <Application/>
  <DocSecurity>0</DocSecurity>
  <Lines>411</Lines>
  <Paragraphs>115</Paragraphs>
  <ScaleCrop>false</ScaleCrop>
  <Company/>
  <LinksUpToDate>false</LinksUpToDate>
  <CharactersWithSpaces>57951</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